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7D7FD7">
      <w:pPr>
        <w:jc w:val="center"/>
        <w:rPr>
          <w:rFonts w:ascii="宋体" w:hAnsi="宋体" w:eastAsia="宋体" w:cs="Arial"/>
          <w:b/>
          <w:bCs/>
          <w:color w:val="auto"/>
          <w:sz w:val="36"/>
          <w:szCs w:val="36"/>
          <w:highlight w:val="none"/>
        </w:rPr>
      </w:pPr>
      <w:bookmarkStart w:id="14" w:name="_GoBack"/>
    </w:p>
    <w:p w14:paraId="631AC87A">
      <w:pPr>
        <w:jc w:val="center"/>
        <w:rPr>
          <w:rFonts w:ascii="宋体" w:hAnsi="宋体" w:eastAsia="宋体" w:cs="Arial"/>
          <w:b/>
          <w:bCs/>
          <w:color w:val="auto"/>
          <w:sz w:val="36"/>
          <w:szCs w:val="36"/>
          <w:highlight w:val="none"/>
        </w:rPr>
      </w:pPr>
    </w:p>
    <w:p w14:paraId="4E4C1619">
      <w:pPr>
        <w:jc w:val="center"/>
        <w:rPr>
          <w:rFonts w:ascii="宋体" w:hAnsi="宋体" w:eastAsia="宋体" w:cs="Arial"/>
          <w:b/>
          <w:bCs/>
          <w:color w:val="auto"/>
          <w:sz w:val="36"/>
          <w:szCs w:val="36"/>
          <w:highlight w:val="none"/>
        </w:rPr>
      </w:pPr>
    </w:p>
    <w:p w14:paraId="1F6D48B9">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2023年中央财政困难群众救助补助资金（支持困难失能老年人基本养老服务救助方向）预算的通知项目支出绩效评价报告</w:t>
      </w:r>
    </w:p>
    <w:p w14:paraId="58C8D2AE">
      <w:pPr>
        <w:pStyle w:val="2"/>
        <w:rPr>
          <w:rFonts w:hint="eastAsia"/>
          <w:color w:val="auto"/>
          <w:highlight w:val="none"/>
          <w:lang w:val="en-US" w:eastAsia="zh-CN"/>
        </w:rPr>
      </w:pPr>
    </w:p>
    <w:p w14:paraId="1B589A46">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083216A6">
      <w:pPr>
        <w:spacing w:line="240" w:lineRule="atLeast"/>
        <w:jc w:val="center"/>
        <w:rPr>
          <w:rFonts w:ascii="宋体" w:hAnsi="宋体" w:eastAsia="宋体" w:cs="Arial"/>
          <w:b/>
          <w:bCs/>
          <w:color w:val="auto"/>
          <w:sz w:val="36"/>
          <w:szCs w:val="36"/>
          <w:highlight w:val="none"/>
        </w:rPr>
      </w:pPr>
    </w:p>
    <w:p w14:paraId="58578335">
      <w:pPr>
        <w:spacing w:line="240" w:lineRule="atLeast"/>
        <w:jc w:val="center"/>
        <w:rPr>
          <w:rFonts w:ascii="宋体" w:hAnsi="宋体" w:eastAsia="宋体" w:cs="Arial"/>
          <w:b/>
          <w:bCs/>
          <w:color w:val="auto"/>
          <w:sz w:val="36"/>
          <w:szCs w:val="36"/>
          <w:highlight w:val="none"/>
        </w:rPr>
      </w:pPr>
    </w:p>
    <w:p w14:paraId="55EB31FC">
      <w:pPr>
        <w:spacing w:line="240" w:lineRule="atLeast"/>
        <w:ind w:left="0" w:leftChars="0" w:firstLine="0" w:firstLineChars="0"/>
        <w:jc w:val="both"/>
        <w:rPr>
          <w:rFonts w:ascii="宋体" w:hAnsi="宋体" w:eastAsia="宋体" w:cs="Arial"/>
          <w:b/>
          <w:bCs/>
          <w:color w:val="auto"/>
          <w:sz w:val="36"/>
          <w:szCs w:val="36"/>
          <w:highlight w:val="none"/>
        </w:rPr>
      </w:pPr>
    </w:p>
    <w:p w14:paraId="389B7339">
      <w:pPr>
        <w:spacing w:line="240" w:lineRule="atLeast"/>
        <w:jc w:val="center"/>
        <w:rPr>
          <w:rFonts w:ascii="宋体" w:hAnsi="宋体" w:eastAsia="宋体" w:cs="Arial"/>
          <w:b/>
          <w:bCs/>
          <w:color w:val="auto"/>
          <w:sz w:val="36"/>
          <w:szCs w:val="36"/>
          <w:highlight w:val="none"/>
        </w:rPr>
      </w:pPr>
    </w:p>
    <w:p w14:paraId="6E62D9E7">
      <w:pPr>
        <w:spacing w:line="240" w:lineRule="auto"/>
        <w:jc w:val="center"/>
        <w:rPr>
          <w:rFonts w:ascii="宋体" w:hAnsi="宋体" w:eastAsia="宋体" w:cs="Arial"/>
          <w:b/>
          <w:bCs/>
          <w:color w:val="auto"/>
          <w:sz w:val="36"/>
          <w:szCs w:val="36"/>
          <w:highlight w:val="none"/>
        </w:rPr>
      </w:pPr>
    </w:p>
    <w:p w14:paraId="69B750A8">
      <w:pPr>
        <w:spacing w:line="360" w:lineRule="auto"/>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项目名称：2023年中央财政困难群众救助补助资金（支持困难失能老年人基本养老服务救助方向）预算的通知</w:t>
      </w:r>
    </w:p>
    <w:p w14:paraId="5C92C780">
      <w:pPr>
        <w:spacing w:line="360" w:lineRule="auto"/>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和静县中心敬老院</w:t>
      </w:r>
    </w:p>
    <w:p w14:paraId="0B76277D">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其其米克</w:t>
      </w:r>
    </w:p>
    <w:p w14:paraId="1BA0342D">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5A5B4AD8">
      <w:pPr>
        <w:keepNext w:val="0"/>
        <w:keepLines w:val="0"/>
        <w:pageBreakBefore w:val="0"/>
        <w:widowControl w:val="0"/>
        <w:kinsoku/>
        <w:wordWrap/>
        <w:overflowPunct/>
        <w:topLinePunct w:val="0"/>
        <w:autoSpaceDE/>
        <w:autoSpaceDN/>
        <w:bidi w:val="0"/>
        <w:adjustRightInd/>
        <w:ind w:firstLine="0" w:firstLineChars="0"/>
        <w:jc w:val="center"/>
        <w:textAlignment w:val="auto"/>
        <w:rPr>
          <w:b/>
          <w:bCs/>
          <w:color w:val="auto"/>
          <w:sz w:val="32"/>
          <w:szCs w:val="28"/>
          <w:highlight w:val="none"/>
        </w:rPr>
      </w:pPr>
      <w:r>
        <w:rPr>
          <w:rFonts w:hint="eastAsia"/>
          <w:b/>
          <w:bCs/>
          <w:color w:val="auto"/>
          <w:sz w:val="32"/>
          <w:szCs w:val="28"/>
          <w:highlight w:val="none"/>
        </w:rPr>
        <w:t>2023年中央财政困难群众救助补助资金（支持困难失能老年人基本养老服务救助方向）预算的通知项目支出绩效评价报告</w:t>
      </w:r>
    </w:p>
    <w:p w14:paraId="6E28434D">
      <w:pPr>
        <w:pStyle w:val="3"/>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一、基本情况</w:t>
      </w:r>
    </w:p>
    <w:p w14:paraId="1517CF14">
      <w:pPr>
        <w:pStyle w:val="4"/>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（一）项目概况</w:t>
      </w:r>
    </w:p>
    <w:p w14:paraId="49A2E948">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1.项目背景</w:t>
      </w:r>
    </w:p>
    <w:p w14:paraId="37314035">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lang w:val="en-US" w:eastAsia="zh-CN"/>
        </w:rPr>
        <w:t>当前社会老龄化严重，同时困难群众基本生活救助是维护困难群众基本生活权益、兜牢基本民生底线的重要社会救助政策。社会救助是保障公民的基本生活，使公民共享发展成果，促进社会公平正义，维护社会和谐稳定的制度。2021年自治区民政厅印发《新疆维吾尔自治区最低生活保障审核确认实施实施办法》的通知（新民发〔2021〕2号）,关于印发民政部新修订《特困人员认定办法》的通知（新民发〔2021〕74号），关于贯彻落实《关于关于进一步改革完善社会救助制度的实施意见》的通知（新民发〔2021〕35号），上述文件对城乡低保、特困人员供养、临时救助制度作了全面规范和完善，建立起完善的社会救助制度体系，救助标准大幅提高，资金绩效不断提升，困难群众获得感、幸福感明显增强。</w:t>
      </w:r>
    </w:p>
    <w:p w14:paraId="517E58C9">
      <w:pPr>
        <w:pStyle w:val="2"/>
        <w:keepNext w:val="0"/>
        <w:keepLines w:val="0"/>
        <w:pageBreakBefore w:val="0"/>
        <w:widowControl w:val="0"/>
        <w:kinsoku/>
        <w:wordWrap/>
        <w:overflowPunct/>
        <w:topLinePunct w:val="0"/>
        <w:autoSpaceDE/>
        <w:autoSpaceDN/>
        <w:bidi w:val="0"/>
        <w:adjustRightInd/>
        <w:ind w:firstLine="562"/>
        <w:textAlignment w:val="auto"/>
        <w:rPr>
          <w:rFonts w:hint="eastAsia"/>
          <w:color w:val="auto"/>
          <w:highlight w:val="none"/>
          <w:lang w:val="en-US" w:eastAsia="zh-CN"/>
        </w:rPr>
      </w:pPr>
      <w:r>
        <w:rPr>
          <w:rFonts w:hint="eastAsia"/>
          <w:color w:val="auto"/>
          <w:highlight w:val="none"/>
        </w:rPr>
        <w:t>2.主要内容</w:t>
      </w:r>
    </w:p>
    <w:p w14:paraId="6F81E4F2">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rFonts w:hint="eastAsia"/>
          <w:color w:val="auto"/>
          <w:highlight w:val="none"/>
          <w:lang w:val="en-US" w:eastAsia="zh-CN"/>
        </w:rPr>
        <w:t>项目名称：2023年中央财政困难群众救助补助资金（支持困难失能老年人基本养老服务救助方向）预算的通知</w:t>
      </w:r>
    </w:p>
    <w:p w14:paraId="40E5D6B0">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项目主要内容：始终坚持“应保尽保、应退尽退”的原则，不断完善程序、规范管理，保证了全县社会救助工作的有序开展，保障困难群众的基本生活，维护社会的和谐稳定。</w:t>
      </w:r>
    </w:p>
    <w:p w14:paraId="5DF9DA1C">
      <w:pPr>
        <w:pStyle w:val="2"/>
        <w:keepNext w:val="0"/>
        <w:keepLines w:val="0"/>
        <w:pageBreakBefore w:val="0"/>
        <w:widowControl w:val="0"/>
        <w:kinsoku/>
        <w:wordWrap/>
        <w:overflowPunct/>
        <w:topLinePunct w:val="0"/>
        <w:autoSpaceDE/>
        <w:autoSpaceDN/>
        <w:bidi w:val="0"/>
        <w:adjustRightInd/>
        <w:ind w:firstLine="562"/>
        <w:jc w:val="left"/>
        <w:textAlignment w:val="auto"/>
        <w:rPr>
          <w:color w:val="auto"/>
          <w:highlight w:val="none"/>
        </w:rPr>
      </w:pPr>
      <w:r>
        <w:rPr>
          <w:rFonts w:hint="eastAsia"/>
          <w:color w:val="auto"/>
          <w:highlight w:val="none"/>
        </w:rPr>
        <w:t>3.实施情况</w:t>
      </w:r>
    </w:p>
    <w:p w14:paraId="1A0B948B">
      <w:pPr>
        <w:keepNext w:val="0"/>
        <w:keepLines w:val="0"/>
        <w:pageBreakBefore w:val="0"/>
        <w:widowControl w:val="0"/>
        <w:kinsoku/>
        <w:wordWrap/>
        <w:overflowPunct/>
        <w:topLinePunct w:val="0"/>
        <w:autoSpaceDE/>
        <w:autoSpaceDN/>
        <w:bidi w:val="0"/>
        <w:adjustRightInd/>
        <w:ind w:firstLine="560"/>
        <w:jc w:val="left"/>
        <w:textAlignment w:val="auto"/>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和静县中心敬老院</w:t>
      </w:r>
      <w:r>
        <w:rPr>
          <w:color w:val="auto"/>
          <w:highlight w:val="none"/>
        </w:rPr>
        <w:t>。</w:t>
      </w:r>
    </w:p>
    <w:p w14:paraId="596B108F">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10</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51CA6410">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val="en-US" w:eastAsia="zh-CN"/>
        </w:rPr>
        <w:t>2021年自治区民政厅印发《新疆维吾尔自治区最低生活保障审核确认实施实施办法》的通知（新民发〔2021〕2号）,关于印发民政部新修订《特困人员认定办法》的通知（新民发〔2021〕74号），关于贯彻落实《关于关于进一步改革完善社会救助制度的实施意见》的通知（新民发〔2021〕35号），上述文件对城乡低保、特困人员供养、临时救助制度作了全面规范和完善，建立起完善的社会救助制度体系</w:t>
      </w:r>
      <w:r>
        <w:rPr>
          <w:rFonts w:hint="eastAsia"/>
          <w:color w:val="auto"/>
          <w:highlight w:val="none"/>
        </w:rPr>
        <w:t>要求，实际已保障了</w:t>
      </w:r>
      <w:r>
        <w:rPr>
          <w:rFonts w:hint="eastAsia"/>
          <w:color w:val="auto"/>
          <w:highlight w:val="none"/>
          <w:lang w:val="en-US" w:eastAsia="zh-CN"/>
        </w:rPr>
        <w:t>困难失能老人72</w:t>
      </w:r>
      <w:r>
        <w:rPr>
          <w:rFonts w:hint="eastAsia"/>
          <w:color w:val="auto"/>
          <w:highlight w:val="none"/>
        </w:rPr>
        <w:t>人</w:t>
      </w:r>
      <w:r>
        <w:rPr>
          <w:rFonts w:hint="eastAsia"/>
          <w:color w:val="auto"/>
          <w:highlight w:val="none"/>
          <w:lang w:val="en-US" w:eastAsia="zh-CN"/>
        </w:rPr>
        <w:t>次</w:t>
      </w:r>
      <w:r>
        <w:rPr>
          <w:rFonts w:hint="eastAsia"/>
          <w:color w:val="auto"/>
          <w:highlight w:val="none"/>
        </w:rPr>
        <w:t>。</w:t>
      </w:r>
    </w:p>
    <w:p w14:paraId="5FBC5417">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4.资金投入和使用情况</w:t>
      </w:r>
    </w:p>
    <w:p w14:paraId="3A26762B">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（1）项目资金安排落实、总投入等情况分析</w:t>
      </w:r>
    </w:p>
    <w:p w14:paraId="5A895CFE">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31</w:t>
      </w:r>
      <w:r>
        <w:rPr>
          <w:color w:val="auto"/>
          <w:highlight w:val="none"/>
        </w:rPr>
        <w:t>万元，</w:t>
      </w:r>
      <w:r>
        <w:rPr>
          <w:rFonts w:hint="eastAsia"/>
          <w:color w:val="auto"/>
          <w:highlight w:val="none"/>
        </w:rPr>
        <w:t>资金来源为中央专项资金，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31</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31</w:t>
      </w:r>
      <w:r>
        <w:rPr>
          <w:color w:val="auto"/>
          <w:highlight w:val="none"/>
        </w:rPr>
        <w:t>万元，预算资金到位率为</w:t>
      </w:r>
      <w:r>
        <w:rPr>
          <w:rFonts w:hint="eastAsia"/>
          <w:color w:val="auto"/>
          <w:highlight w:val="none"/>
          <w:lang w:val="en-US" w:eastAsia="zh-CN"/>
        </w:rPr>
        <w:t>100</w:t>
      </w:r>
      <w:r>
        <w:rPr>
          <w:color w:val="auto"/>
          <w:highlight w:val="none"/>
        </w:rPr>
        <w:t>%。</w:t>
      </w:r>
    </w:p>
    <w:p w14:paraId="7EDD6356">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（2）项目资金实际使用情况分析</w:t>
      </w:r>
    </w:p>
    <w:p w14:paraId="50A769E8">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截至2024年12月31日，本项目实际支出14.25万元</w:t>
      </w:r>
      <w:r>
        <w:rPr>
          <w:rFonts w:hint="eastAsia"/>
          <w:color w:val="auto"/>
          <w:highlight w:val="none"/>
        </w:rPr>
        <w:t>，预算执行率</w:t>
      </w:r>
      <w:r>
        <w:rPr>
          <w:rFonts w:hint="eastAsia"/>
          <w:color w:val="auto"/>
          <w:highlight w:val="none"/>
          <w:lang w:val="en-US" w:eastAsia="zh-CN"/>
        </w:rPr>
        <w:t>45.97</w:t>
      </w:r>
      <w:r>
        <w:rPr>
          <w:color w:val="auto"/>
          <w:highlight w:val="none"/>
        </w:rPr>
        <w:t>%</w:t>
      </w:r>
      <w:r>
        <w:rPr>
          <w:rFonts w:hint="eastAsia"/>
          <w:color w:val="auto"/>
          <w:highlight w:val="none"/>
        </w:rPr>
        <w:t>。本项目资金主要用于支付</w:t>
      </w:r>
      <w:r>
        <w:rPr>
          <w:rFonts w:hint="eastAsia"/>
          <w:color w:val="auto"/>
          <w:highlight w:val="none"/>
          <w:lang w:val="en-US" w:eastAsia="zh-CN"/>
        </w:rPr>
        <w:t>2023年困难失能老人</w:t>
      </w:r>
      <w:r>
        <w:rPr>
          <w:rFonts w:hint="eastAsia"/>
          <w:color w:val="auto"/>
          <w:highlight w:val="none"/>
        </w:rPr>
        <w:t>费用</w:t>
      </w:r>
      <w:r>
        <w:rPr>
          <w:rFonts w:hint="eastAsia"/>
          <w:color w:val="auto"/>
          <w:highlight w:val="none"/>
          <w:lang w:val="en-US" w:eastAsia="zh-CN"/>
        </w:rPr>
        <w:t>1.4922</w:t>
      </w:r>
      <w:r>
        <w:rPr>
          <w:rFonts w:hint="eastAsia"/>
          <w:color w:val="auto"/>
          <w:highlight w:val="none"/>
        </w:rPr>
        <w:t>万元、</w:t>
      </w:r>
      <w:r>
        <w:rPr>
          <w:rFonts w:hint="eastAsia"/>
          <w:color w:val="auto"/>
          <w:highlight w:val="none"/>
          <w:lang w:val="en-US" w:eastAsia="zh-CN"/>
        </w:rPr>
        <w:t>2024年困难失能老人</w:t>
      </w:r>
      <w:r>
        <w:rPr>
          <w:rFonts w:hint="eastAsia"/>
          <w:color w:val="auto"/>
          <w:highlight w:val="none"/>
        </w:rPr>
        <w:t>费用</w:t>
      </w:r>
      <w:r>
        <w:rPr>
          <w:rFonts w:hint="eastAsia"/>
          <w:color w:val="auto"/>
          <w:highlight w:val="none"/>
          <w:lang w:val="en-US" w:eastAsia="zh-CN"/>
        </w:rPr>
        <w:t>12.7578</w:t>
      </w:r>
      <w:r>
        <w:rPr>
          <w:rFonts w:hint="eastAsia"/>
          <w:color w:val="auto"/>
          <w:highlight w:val="none"/>
        </w:rPr>
        <w:t>万元。</w:t>
      </w:r>
    </w:p>
    <w:p w14:paraId="47F45B6E">
      <w:pPr>
        <w:pStyle w:val="4"/>
        <w:keepNext w:val="0"/>
        <w:keepLines w:val="0"/>
        <w:pageBreakBefore w:val="0"/>
        <w:widowControl w:val="0"/>
        <w:numPr>
          <w:ilvl w:val="0"/>
          <w:numId w:val="2"/>
        </w:numPr>
        <w:kinsoku/>
        <w:wordWrap/>
        <w:overflowPunct/>
        <w:topLinePunct w:val="0"/>
        <w:autoSpaceDE/>
        <w:autoSpaceDN/>
        <w:bidi w:val="0"/>
        <w:adjustRightInd/>
        <w:ind w:firstLine="643"/>
        <w:textAlignment w:val="auto"/>
        <w:rPr>
          <w:color w:val="auto"/>
          <w:highlight w:val="none"/>
        </w:rPr>
      </w:pPr>
      <w:r>
        <w:rPr>
          <w:rFonts w:hint="eastAsia"/>
          <w:color w:val="auto"/>
          <w:highlight w:val="none"/>
        </w:rPr>
        <w:t>项目绩效目标</w:t>
      </w:r>
    </w:p>
    <w:p w14:paraId="2A25B325">
      <w:pPr>
        <w:pStyle w:val="2"/>
        <w:keepNext w:val="0"/>
        <w:keepLines w:val="0"/>
        <w:pageBreakBefore w:val="0"/>
        <w:widowControl w:val="0"/>
        <w:kinsoku/>
        <w:wordWrap/>
        <w:overflowPunct/>
        <w:topLinePunct w:val="0"/>
        <w:autoSpaceDE/>
        <w:autoSpaceDN/>
        <w:bidi w:val="0"/>
        <w:adjustRightInd/>
        <w:ind w:firstLine="562"/>
        <w:textAlignment w:val="auto"/>
        <w:rPr>
          <w:rFonts w:hint="eastAsia"/>
          <w:color w:val="auto"/>
          <w:highlight w:val="none"/>
        </w:rPr>
      </w:pPr>
      <w:r>
        <w:rPr>
          <w:rFonts w:hint="eastAsia"/>
          <w:color w:val="auto"/>
          <w:highlight w:val="none"/>
        </w:rPr>
        <w:t>1.总体目标</w:t>
      </w:r>
    </w:p>
    <w:p w14:paraId="542B1463">
      <w:pPr>
        <w:pStyle w:val="2"/>
        <w:keepNext w:val="0"/>
        <w:keepLines w:val="0"/>
        <w:pageBreakBefore w:val="0"/>
        <w:widowControl w:val="0"/>
        <w:kinsoku/>
        <w:wordWrap/>
        <w:overflowPunct/>
        <w:topLinePunct w:val="0"/>
        <w:autoSpaceDE/>
        <w:autoSpaceDN/>
        <w:bidi w:val="0"/>
        <w:adjustRightInd/>
        <w:ind w:firstLine="562"/>
        <w:textAlignment w:val="auto"/>
        <w:rPr>
          <w:rFonts w:hint="eastAsia"/>
          <w:b w:val="0"/>
          <w:bCs w:val="0"/>
          <w:color w:val="auto"/>
          <w:highlight w:val="none"/>
        </w:rPr>
      </w:pPr>
      <w:r>
        <w:rPr>
          <w:rFonts w:hint="eastAsia"/>
          <w:b w:val="0"/>
          <w:bCs w:val="0"/>
          <w:color w:val="auto"/>
          <w:highlight w:val="none"/>
          <w:lang w:val="en-US" w:eastAsia="zh-CN"/>
        </w:rPr>
        <w:t>按照“保民生、托底线、救急难、可持续”的原则，建立健全与经济发展水平相适应、覆盖城乡的兜牢民生底线的民生保障体系，及时将符合条件的困难群众纳入最低生活保障、特困人员供养等社会救助保障范围，切实保障困难群众基本生活得到有效保障和改善。困难群众的基本生活得到进一步保障，困难群众共享改革发展成果，群众的获得感进一步增强。各项社会救助制度逐步完善，救助申报及审批程序总体趋于公平、公正、公开，救助政策宣传及实施不断推进。不断提升群众对社会救助政策的知晓度以及救助对象对社会救助工作的满意度。</w:t>
      </w:r>
    </w:p>
    <w:p w14:paraId="57430D8D">
      <w:pPr>
        <w:pStyle w:val="2"/>
        <w:keepNext w:val="0"/>
        <w:keepLines w:val="0"/>
        <w:pageBreakBefore w:val="0"/>
        <w:widowControl w:val="0"/>
        <w:kinsoku/>
        <w:wordWrap/>
        <w:overflowPunct/>
        <w:topLinePunct w:val="0"/>
        <w:autoSpaceDE/>
        <w:autoSpaceDN/>
        <w:bidi w:val="0"/>
        <w:adjustRightInd/>
        <w:ind w:firstLine="562"/>
        <w:textAlignment w:val="auto"/>
        <w:rPr>
          <w:b w:val="0"/>
          <w:bCs w:val="0"/>
          <w:color w:val="auto"/>
          <w:highlight w:val="none"/>
        </w:rPr>
      </w:pPr>
      <w:r>
        <w:rPr>
          <w:rFonts w:hint="eastAsia"/>
          <w:b w:val="0"/>
          <w:bCs w:val="0"/>
          <w:color w:val="auto"/>
          <w:highlight w:val="none"/>
        </w:rPr>
        <w:t>2.阶段性目标</w:t>
      </w:r>
    </w:p>
    <w:p w14:paraId="0E01B69E">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2B6ACA89">
      <w:pPr>
        <w:keepNext w:val="0"/>
        <w:keepLines w:val="0"/>
        <w:pageBreakBefore w:val="0"/>
        <w:widowControl w:val="0"/>
        <w:kinsoku/>
        <w:wordWrap/>
        <w:overflowPunct/>
        <w:topLinePunct w:val="0"/>
        <w:autoSpaceDE/>
        <w:autoSpaceDN/>
        <w:bidi w:val="0"/>
        <w:adjustRightInd/>
        <w:textAlignment w:val="auto"/>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416B0A27">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①数量指标</w:t>
      </w:r>
    </w:p>
    <w:p w14:paraId="50BE9CF6">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rFonts w:hint="eastAsia"/>
          <w:color w:val="auto"/>
          <w:highlight w:val="none"/>
          <w:lang w:val="en-US" w:eastAsia="zh-CN"/>
        </w:rPr>
        <w:t>“救助人次数”指标，预期指标值为&lt;=72人次。</w:t>
      </w:r>
    </w:p>
    <w:p w14:paraId="41844AEC">
      <w:pPr>
        <w:pStyle w:val="2"/>
        <w:keepNext w:val="0"/>
        <w:keepLines w:val="0"/>
        <w:pageBreakBefore w:val="0"/>
        <w:widowControl w:val="0"/>
        <w:kinsoku/>
        <w:wordWrap/>
        <w:overflowPunct/>
        <w:topLinePunct w:val="0"/>
        <w:autoSpaceDE/>
        <w:autoSpaceDN/>
        <w:bidi w:val="0"/>
        <w:adjustRightInd/>
        <w:textAlignment w:val="auto"/>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“养老机构数量”指标，预期指标值为&gt;=1个。</w:t>
      </w:r>
    </w:p>
    <w:p w14:paraId="41CB22C7">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②质量指标</w:t>
      </w:r>
    </w:p>
    <w:p w14:paraId="2C89FF94">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“社会救助对象准确率”指标，预期指标值为=100%。</w:t>
      </w:r>
    </w:p>
    <w:p w14:paraId="481BA27D">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5ED7CC2F">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“每月按时发放困难群众供养对象救助金”指标，预期指标值为</w:t>
      </w:r>
      <w:r>
        <w:rPr>
          <w:rFonts w:hint="eastAsia"/>
          <w:color w:val="auto"/>
          <w:highlight w:val="none"/>
          <w:lang w:val="en-US" w:eastAsia="zh-CN"/>
        </w:rPr>
        <w:t>=100%。</w:t>
      </w:r>
    </w:p>
    <w:p w14:paraId="6E79E5F5">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④成本指标</w:t>
      </w:r>
    </w:p>
    <w:p w14:paraId="7565C2D5">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“基本生活标准标准”指标，预期指标值为&lt;=600元/月/人；</w:t>
      </w:r>
    </w:p>
    <w:p w14:paraId="6CC37BA6">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“救助总金额”指标，预期指标值为&lt;=31万元；</w:t>
      </w:r>
    </w:p>
    <w:p w14:paraId="3E3C4D8C">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0F710182">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①经济效益指标</w:t>
      </w:r>
    </w:p>
    <w:p w14:paraId="4D6516E4">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无</w:t>
      </w:r>
      <w:r>
        <w:rPr>
          <w:rFonts w:hint="eastAsia"/>
          <w:color w:val="auto"/>
          <w:highlight w:val="none"/>
        </w:rPr>
        <w:t>；</w:t>
      </w:r>
    </w:p>
    <w:p w14:paraId="615CA899">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②社会效益指标</w:t>
      </w:r>
    </w:p>
    <w:p w14:paraId="5E964E28">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“提高全县农村特困人口最低生活水平”指标，预期指标值为有效提升；</w:t>
      </w:r>
    </w:p>
    <w:p w14:paraId="6AB3BE35">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“和谐社会构建、满足民生需要”指标，预期指标值为持续构建；</w:t>
      </w:r>
    </w:p>
    <w:p w14:paraId="0281461D">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③生态效益指标</w:t>
      </w:r>
    </w:p>
    <w:p w14:paraId="7EE46E8A">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无</w:t>
      </w:r>
      <w:r>
        <w:rPr>
          <w:rFonts w:hint="eastAsia"/>
          <w:color w:val="auto"/>
          <w:highlight w:val="none"/>
        </w:rPr>
        <w:t>；</w:t>
      </w:r>
    </w:p>
    <w:p w14:paraId="2A4213B7">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④可持续影响</w:t>
      </w:r>
    </w:p>
    <w:p w14:paraId="43E842A0">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无</w:t>
      </w:r>
      <w:r>
        <w:rPr>
          <w:rFonts w:hint="eastAsia"/>
          <w:color w:val="auto"/>
          <w:highlight w:val="none"/>
        </w:rPr>
        <w:t>；</w:t>
      </w:r>
    </w:p>
    <w:p w14:paraId="5E197918">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⑤</w:t>
      </w:r>
      <w:r>
        <w:rPr>
          <w:rFonts w:hint="eastAsia"/>
          <w:color w:val="auto"/>
          <w:highlight w:val="none"/>
        </w:rPr>
        <w:t>满意度指标</w:t>
      </w:r>
    </w:p>
    <w:p w14:paraId="2D244C88">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eastAsia="zh-CN"/>
        </w:rPr>
      </w:pPr>
      <w:r>
        <w:rPr>
          <w:rFonts w:hint="eastAsia"/>
          <w:color w:val="auto"/>
          <w:highlight w:val="none"/>
        </w:rPr>
        <w:t>“社会救助服务对象满意度”指标，预期指标值为&gt;=95%</w:t>
      </w:r>
      <w:r>
        <w:rPr>
          <w:rFonts w:hint="eastAsia"/>
          <w:color w:val="auto"/>
          <w:highlight w:val="none"/>
          <w:lang w:eastAsia="zh-CN"/>
        </w:rPr>
        <w:t>。</w:t>
      </w:r>
    </w:p>
    <w:p w14:paraId="0BF11B32">
      <w:pPr>
        <w:pStyle w:val="3"/>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二、绩效评价工作开展情况</w:t>
      </w:r>
    </w:p>
    <w:p w14:paraId="4F35D9BC">
      <w:pPr>
        <w:pStyle w:val="4"/>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bookmarkStart w:id="0" w:name="_Toc5258"/>
      <w:bookmarkStart w:id="1" w:name="_Toc22169_WPSOffice_Level2"/>
      <w:bookmarkStart w:id="2" w:name="_Toc12868"/>
      <w:bookmarkStart w:id="3" w:name="_Toc22922"/>
      <w:bookmarkStart w:id="4" w:name="_Toc5462343"/>
      <w:bookmarkStart w:id="5" w:name="_Toc21664"/>
      <w:bookmarkStart w:id="6" w:name="_Toc480473081"/>
      <w:bookmarkStart w:id="7" w:name="_Toc2663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39E9B9A3">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462A9362">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单位针对2023年中央财政困难群众救助补助资金（支持困难失能老年人基本养老服务救助方向）预算的通知开展本次部门项目支出绩效评价工作。通过绩效评价，促进本单位发现问题、总结经验、改进工作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42B79911">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090FE6E7">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71E33BD3">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0B26D363">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3B5BE26F">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2.绩效评价对象</w:t>
      </w:r>
    </w:p>
    <w:p w14:paraId="0B096407">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此次我单位根据《财政支出绩效评价管理暂行办法》（财预〔2020〕10号）文件要求实施评价工作，本次评价对象为2023年中央财政困难群众救助补助资金（支持困难失能老年人基本养老服务救助方向）预算的通知</w:t>
      </w:r>
      <w:r>
        <w:rPr>
          <w:rFonts w:hint="eastAsia"/>
          <w:color w:val="auto"/>
          <w:highlight w:val="none"/>
          <w:lang w:eastAsia="zh-CN"/>
        </w:rPr>
        <w:t>，</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14:paraId="04F334E1">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3.绩效评价范围</w:t>
      </w:r>
    </w:p>
    <w:p w14:paraId="7E95C9DC">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61618C0C">
      <w:pPr>
        <w:pStyle w:val="4"/>
        <w:keepNext w:val="0"/>
        <w:keepLines w:val="0"/>
        <w:pageBreakBefore w:val="0"/>
        <w:widowControl w:val="0"/>
        <w:kinsoku/>
        <w:wordWrap/>
        <w:overflowPunct/>
        <w:topLinePunct w:val="0"/>
        <w:autoSpaceDE/>
        <w:autoSpaceDN/>
        <w:bidi w:val="0"/>
        <w:adjustRightInd/>
        <w:ind w:firstLine="643"/>
        <w:textAlignment w:val="auto"/>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58943261">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1.绩效评价原则</w:t>
      </w:r>
    </w:p>
    <w:p w14:paraId="5386D3DD">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依据《中华人民共和国预算法》《中共中央国务院关于全面实施预算绩效管理的意见》（中发〔2018〕34号）《项目支出绩效评价管理办法》（财预〔2020〕10号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36E00D0E">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bookmarkStart w:id="8" w:name="_Toc26131"/>
      <w:bookmarkStart w:id="9" w:name="_Toc428278230"/>
      <w:bookmarkStart w:id="10" w:name="_Toc1913"/>
      <w:bookmarkStart w:id="11" w:name="_Toc419984722"/>
      <w:r>
        <w:rPr>
          <w:rFonts w:hint="eastAsia"/>
          <w:color w:val="auto"/>
          <w:highlight w:val="none"/>
        </w:rPr>
        <w:t>（1）科学公正。绩效评价应当运用科学合理的方法，按照规范的程序，对项目绩效进行客观、公正的反映。</w:t>
      </w:r>
    </w:p>
    <w:p w14:paraId="0A590A9F">
      <w:pPr>
        <w:keepNext w:val="0"/>
        <w:keepLines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4B71882">
      <w:pPr>
        <w:keepNext w:val="0"/>
        <w:keepLines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3473F196">
      <w:pPr>
        <w:keepNext w:val="0"/>
        <w:keepLines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（4）公开透明。绩效评价结果应依法依规公开，并自觉接受社会监督。</w:t>
      </w:r>
    </w:p>
    <w:p w14:paraId="57418121">
      <w:pPr>
        <w:keepNext w:val="0"/>
        <w:keepLines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26C5044D">
      <w:pPr>
        <w:keepNext w:val="0"/>
        <w:keepLines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73707F02">
      <w:pPr>
        <w:keepNext w:val="0"/>
        <w:keepLines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732A0BF7">
      <w:pPr>
        <w:keepNext w:val="0"/>
        <w:keepLines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3A7C83CC">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2.绩效评价指标体系</w:t>
      </w:r>
      <w:bookmarkEnd w:id="8"/>
      <w:bookmarkEnd w:id="9"/>
      <w:bookmarkEnd w:id="10"/>
      <w:bookmarkEnd w:id="11"/>
    </w:p>
    <w:p w14:paraId="75F1A234">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797E7DAF">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3.评价方法</w:t>
      </w:r>
    </w:p>
    <w:p w14:paraId="7EC3C6EE">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04A67491">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4DBC1208">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A122719">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6CBAD0ED">
      <w:pPr>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0491291A">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77409A9D">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6C954DED">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7C1F4F29">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2010B0A1">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7CF5A75E">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621F966C">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3B4161DA">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5EB59879">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006B38D4">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2AC099F3">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317933C5">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009F0E86">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4.评价标准</w:t>
      </w:r>
    </w:p>
    <w:p w14:paraId="6C6FFD08">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ABB8BBD">
      <w:pPr>
        <w:pStyle w:val="4"/>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（三）绩效评价工作过程</w:t>
      </w:r>
    </w:p>
    <w:p w14:paraId="19901A57">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1.前期准备</w:t>
      </w:r>
    </w:p>
    <w:p w14:paraId="1FBE7ABD">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3A03C769">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其其米克</w:t>
      </w:r>
      <w:r>
        <w:rPr>
          <w:rFonts w:hint="eastAsia"/>
          <w:color w:val="auto"/>
          <w:highlight w:val="none"/>
        </w:rPr>
        <w:t>（评价小组组长）：</w:t>
      </w:r>
      <w:r>
        <w:rPr>
          <w:rFonts w:hint="eastAsia"/>
          <w:color w:val="auto"/>
          <w:highlight w:val="none"/>
        </w:rPr>
        <w:t>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hint="eastAsia"/>
          <w:color w:val="auto"/>
          <w:highlight w:val="none"/>
        </w:rPr>
        <w:t>;</w:t>
      </w:r>
    </w:p>
    <w:p w14:paraId="3D4C37A6">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王丽珍</w:t>
      </w:r>
      <w:r>
        <w:rPr>
          <w:rFonts w:hint="eastAsia"/>
          <w:color w:val="auto"/>
          <w:highlight w:val="none"/>
        </w:rPr>
        <w:t>（评价小组组员）：</w:t>
      </w:r>
      <w:r>
        <w:rPr>
          <w:rFonts w:hint="eastAsia"/>
          <w:color w:val="auto"/>
          <w:highlight w:val="none"/>
        </w:rPr>
        <w:t>主要负责绩效评价现场督导，对评价组成员的评价检查工作提供技术指导与支持，对实效评价工作质量把关</w:t>
      </w:r>
      <w:r>
        <w:rPr>
          <w:rFonts w:hint="eastAsia"/>
          <w:color w:val="auto"/>
          <w:highlight w:val="none"/>
        </w:rPr>
        <w:t>;</w:t>
      </w:r>
    </w:p>
    <w:p w14:paraId="233A0DB2">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武艳葳</w:t>
      </w:r>
      <w:r>
        <w:rPr>
          <w:rFonts w:hint="eastAsia"/>
          <w:color w:val="auto"/>
          <w:highlight w:val="none"/>
        </w:rPr>
        <w:t>（评价小组组员）：</w:t>
      </w:r>
      <w:r>
        <w:rPr>
          <w:rFonts w:hint="eastAsia"/>
          <w:color w:val="auto"/>
          <w:highlight w:val="none"/>
        </w:rPr>
        <w:t>主要负责现场调研工作，完成收集整理资料、审核数据、填报绩效评价内容等工作</w:t>
      </w:r>
      <w:r>
        <w:rPr>
          <w:rFonts w:hint="eastAsia"/>
          <w:color w:val="auto"/>
          <w:highlight w:val="none"/>
        </w:rPr>
        <w:t>。</w:t>
      </w:r>
    </w:p>
    <w:p w14:paraId="44599B0F">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2.组织实施</w:t>
      </w:r>
    </w:p>
    <w:p w14:paraId="47F670A2">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32479DC2">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3.分析评价</w:t>
      </w:r>
    </w:p>
    <w:p w14:paraId="3F8EA233">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06063692">
      <w:pPr>
        <w:pStyle w:val="2"/>
        <w:keepNext w:val="0"/>
        <w:keepLines w:val="0"/>
        <w:pageBreakBefore w:val="0"/>
        <w:widowControl w:val="0"/>
        <w:kinsoku/>
        <w:wordWrap/>
        <w:overflowPunct/>
        <w:topLinePunct w:val="0"/>
        <w:autoSpaceDE/>
        <w:autoSpaceDN/>
        <w:bidi w:val="0"/>
        <w:adjustRightInd/>
        <w:ind w:firstLine="562"/>
        <w:textAlignment w:val="auto"/>
        <w:rPr>
          <w:rFonts w:hint="eastAsia"/>
          <w:color w:val="auto"/>
          <w:highlight w:val="none"/>
        </w:rPr>
      </w:pPr>
      <w:r>
        <w:rPr>
          <w:rFonts w:hint="eastAsia"/>
          <w:color w:val="auto"/>
          <w:highlight w:val="none"/>
        </w:rPr>
        <w:t>4.撰写与提交评价报告</w:t>
      </w:r>
    </w:p>
    <w:p w14:paraId="2040D1B8">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1ED6DEF7">
      <w:pPr>
        <w:pStyle w:val="2"/>
        <w:keepNext w:val="0"/>
        <w:keepLines w:val="0"/>
        <w:pageBreakBefore w:val="0"/>
        <w:widowControl w:val="0"/>
        <w:kinsoku/>
        <w:wordWrap/>
        <w:overflowPunct/>
        <w:topLinePunct w:val="0"/>
        <w:autoSpaceDE/>
        <w:autoSpaceDN/>
        <w:bidi w:val="0"/>
        <w:adjustRightInd/>
        <w:ind w:firstLine="562"/>
        <w:textAlignment w:val="auto"/>
        <w:rPr>
          <w:rFonts w:hint="eastAsia"/>
          <w:color w:val="auto"/>
          <w:highlight w:val="none"/>
        </w:rPr>
      </w:pPr>
      <w:r>
        <w:rPr>
          <w:rFonts w:hint="eastAsia"/>
          <w:color w:val="auto"/>
          <w:highlight w:val="none"/>
        </w:rPr>
        <w:t>5.问题整改</w:t>
      </w:r>
    </w:p>
    <w:p w14:paraId="218B8529">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192A675D">
      <w:pPr>
        <w:pStyle w:val="2"/>
        <w:keepNext w:val="0"/>
        <w:keepLines w:val="0"/>
        <w:pageBreakBefore w:val="0"/>
        <w:widowControl w:val="0"/>
        <w:kinsoku/>
        <w:wordWrap/>
        <w:overflowPunct/>
        <w:topLinePunct w:val="0"/>
        <w:autoSpaceDE/>
        <w:autoSpaceDN/>
        <w:bidi w:val="0"/>
        <w:adjustRightInd/>
        <w:ind w:firstLine="562"/>
        <w:textAlignment w:val="auto"/>
        <w:rPr>
          <w:rFonts w:hint="eastAsia"/>
          <w:color w:val="auto"/>
          <w:highlight w:val="none"/>
        </w:rPr>
      </w:pPr>
      <w:r>
        <w:rPr>
          <w:rFonts w:hint="eastAsia"/>
          <w:color w:val="auto"/>
          <w:highlight w:val="none"/>
        </w:rPr>
        <w:t>6.档案整理</w:t>
      </w:r>
    </w:p>
    <w:p w14:paraId="38028C73">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211C80D0">
      <w:pPr>
        <w:pStyle w:val="3"/>
        <w:keepNext w:val="0"/>
        <w:keepLines w:val="0"/>
        <w:pageBreakBefore w:val="0"/>
        <w:widowControl w:val="0"/>
        <w:numPr>
          <w:ilvl w:val="0"/>
          <w:numId w:val="3"/>
        </w:numPr>
        <w:kinsoku/>
        <w:wordWrap/>
        <w:overflowPunct/>
        <w:topLinePunct w:val="0"/>
        <w:autoSpaceDE/>
        <w:autoSpaceDN/>
        <w:bidi w:val="0"/>
        <w:adjustRightInd/>
        <w:ind w:firstLine="643"/>
        <w:textAlignment w:val="auto"/>
        <w:rPr>
          <w:color w:val="auto"/>
          <w:highlight w:val="none"/>
        </w:rPr>
      </w:pPr>
      <w:r>
        <w:rPr>
          <w:rFonts w:hint="eastAsia"/>
          <w:color w:val="auto"/>
          <w:highlight w:val="none"/>
        </w:rPr>
        <w:t>综合评价情况及评价结论</w:t>
      </w:r>
    </w:p>
    <w:p w14:paraId="6CA98079">
      <w:pPr>
        <w:pStyle w:val="4"/>
        <w:keepNext w:val="0"/>
        <w:keepLines w:val="0"/>
        <w:pageBreakBefore w:val="0"/>
        <w:widowControl w:val="0"/>
        <w:kinsoku/>
        <w:wordWrap/>
        <w:overflowPunct/>
        <w:topLinePunct w:val="0"/>
        <w:autoSpaceDE/>
        <w:autoSpaceDN/>
        <w:bidi w:val="0"/>
        <w:adjustRightInd/>
        <w:ind w:firstLine="643"/>
        <w:textAlignment w:val="auto"/>
        <w:rPr>
          <w:rFonts w:hint="eastAsia"/>
          <w:b w:val="0"/>
          <w:color w:val="auto"/>
          <w:highlight w:val="none"/>
        </w:rPr>
      </w:pPr>
      <w:r>
        <w:rPr>
          <w:rFonts w:hint="eastAsia"/>
          <w:color w:val="auto"/>
          <w:highlight w:val="none"/>
        </w:rPr>
        <w:t>（一）综合评价情况</w:t>
      </w:r>
    </w:p>
    <w:p w14:paraId="169C942B">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部分达成</w:t>
      </w:r>
      <w:r>
        <w:rPr>
          <w:rFonts w:hint="eastAsia"/>
          <w:color w:val="auto"/>
          <w:highlight w:val="none"/>
          <w:lang w:val="en-US" w:eastAsia="zh-CN"/>
        </w:rPr>
        <w:t>年</w:t>
      </w:r>
      <w:r>
        <w:rPr>
          <w:rFonts w:hint="eastAsia"/>
          <w:color w:val="auto"/>
          <w:highlight w:val="none"/>
          <w:lang w:val="zh-TW" w:eastAsia="zh-TW"/>
        </w:rPr>
        <w:t>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4F3A5FB0">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一是：落实政策，做好困难群众救助工作。根据自治区民政厅、财政厅《关于提高全区困难群众基本生活救助保障标准的通知》，进一步做好提高</w:t>
      </w:r>
      <w:r>
        <w:rPr>
          <w:rFonts w:hint="eastAsia"/>
          <w:color w:val="auto"/>
          <w:highlight w:val="none"/>
          <w:lang w:val="en-US" w:eastAsia="zh-CN"/>
        </w:rPr>
        <w:t>和静县</w:t>
      </w:r>
      <w:r>
        <w:rPr>
          <w:rFonts w:hint="eastAsia"/>
          <w:color w:val="auto"/>
          <w:highlight w:val="none"/>
        </w:rPr>
        <w:t>困难群众基本生活救助保障，及时调整了困难群众救助补助标准，有效提升了低保困难群众生活水平。</w:t>
      </w:r>
    </w:p>
    <w:p w14:paraId="63D2405D">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二是：精准识别，切实保障困难群众基本生活。</w:t>
      </w:r>
      <w:r>
        <w:rPr>
          <w:rFonts w:hint="eastAsia"/>
          <w:color w:val="auto"/>
          <w:highlight w:val="none"/>
          <w:lang w:val="en-US" w:eastAsia="zh-CN"/>
        </w:rPr>
        <w:t>和静县</w:t>
      </w:r>
      <w:r>
        <w:rPr>
          <w:rFonts w:hint="eastAsia"/>
          <w:color w:val="auto"/>
          <w:highlight w:val="none"/>
        </w:rPr>
        <w:t>加强摸底排查、主动及时发现救助需求，跟进实施救助帮扶。充分利用低收入人口动态动态检测信息平台，强化对低收入人口动态检测预警，对发现的困难的群众及时干预、精准救助、综合帮扶。统筹运用发放实物和提供服务等方式，提供精准救助帮扶，完善和落实支持社会力量参与社会救助的政策措施，切实保障困难群众基本生活。</w:t>
      </w:r>
    </w:p>
    <w:p w14:paraId="2A59ED1F">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三是：认真审核，确保资金及时足额发放。对全市</w:t>
      </w:r>
      <w:r>
        <w:rPr>
          <w:rFonts w:hint="eastAsia"/>
          <w:color w:val="auto"/>
          <w:highlight w:val="none"/>
          <w:lang w:val="en-US" w:eastAsia="zh-CN"/>
        </w:rPr>
        <w:t>困难失能老人</w:t>
      </w:r>
      <w:r>
        <w:rPr>
          <w:rFonts w:hint="eastAsia"/>
          <w:color w:val="auto"/>
          <w:highlight w:val="none"/>
        </w:rPr>
        <w:t>信息进行核准排查，通过系统比对，严格核实受益群众姓名、身份证号、手机号码、家庭住址等基础信息，动态调整实名制管理信息，确保补贴资金及时足额发放至困难群众卡中</w:t>
      </w:r>
      <w:r>
        <w:rPr>
          <w:rFonts w:hint="eastAsia"/>
          <w:color w:val="auto"/>
          <w:highlight w:val="none"/>
          <w:lang w:eastAsia="zh-CN"/>
        </w:rPr>
        <w:t>，</w:t>
      </w:r>
      <w:r>
        <w:rPr>
          <w:rFonts w:hint="eastAsia"/>
          <w:color w:val="auto"/>
          <w:highlight w:val="none"/>
        </w:rPr>
        <w:t>有效提升了困难群众生活水平。</w:t>
      </w:r>
    </w:p>
    <w:p w14:paraId="3169A358">
      <w:pPr>
        <w:pStyle w:val="4"/>
        <w:keepNext w:val="0"/>
        <w:keepLines w:val="0"/>
        <w:pageBreakBefore w:val="0"/>
        <w:widowControl w:val="0"/>
        <w:kinsoku/>
        <w:wordWrap/>
        <w:overflowPunct/>
        <w:topLinePunct w:val="0"/>
        <w:autoSpaceDE/>
        <w:autoSpaceDN/>
        <w:bidi w:val="0"/>
        <w:adjustRightInd/>
        <w:ind w:left="560" w:leftChars="200" w:firstLine="0" w:firstLineChars="0"/>
        <w:textAlignment w:val="auto"/>
        <w:rPr>
          <w:color w:val="auto"/>
          <w:highlight w:val="none"/>
        </w:rPr>
      </w:pPr>
      <w:r>
        <w:rPr>
          <w:rFonts w:hint="eastAsia"/>
          <w:color w:val="auto"/>
          <w:highlight w:val="none"/>
        </w:rPr>
        <w:t>（二）评价结论</w:t>
      </w:r>
    </w:p>
    <w:p w14:paraId="6F8CD6FF">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88.21</w:t>
      </w:r>
      <w:r>
        <w:rPr>
          <w:rFonts w:hint="eastAsia"/>
          <w:color w:val="auto"/>
          <w:highlight w:val="none"/>
          <w:lang w:val="zh-TW" w:eastAsia="zh-TW"/>
        </w:rPr>
        <w:t>分，绩效评级为“</w:t>
      </w:r>
      <w:r>
        <w:rPr>
          <w:rFonts w:hint="eastAsia"/>
          <w:color w:val="auto"/>
          <w:highlight w:val="none"/>
          <w:lang w:val="en-US" w:eastAsia="zh-CN"/>
        </w:rPr>
        <w:t>良”</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20</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18</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90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50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6FF92CCA">
      <w:pPr>
        <w:pStyle w:val="3"/>
        <w:keepNext w:val="0"/>
        <w:keepLines w:val="0"/>
        <w:pageBreakBefore w:val="0"/>
        <w:widowControl w:val="0"/>
        <w:numPr>
          <w:ilvl w:val="0"/>
          <w:numId w:val="3"/>
        </w:numPr>
        <w:kinsoku/>
        <w:wordWrap/>
        <w:overflowPunct/>
        <w:topLinePunct w:val="0"/>
        <w:autoSpaceDE/>
        <w:autoSpaceDN/>
        <w:bidi w:val="0"/>
        <w:adjustRightInd/>
        <w:ind w:firstLine="643"/>
        <w:textAlignment w:val="auto"/>
        <w:rPr>
          <w:color w:val="auto"/>
          <w:highlight w:val="none"/>
        </w:rPr>
      </w:pPr>
      <w:r>
        <w:rPr>
          <w:rFonts w:hint="eastAsia"/>
          <w:color w:val="auto"/>
          <w:highlight w:val="none"/>
        </w:rPr>
        <w:t>绩效评价指标分析</w:t>
      </w:r>
    </w:p>
    <w:p w14:paraId="7996A693">
      <w:pPr>
        <w:pStyle w:val="4"/>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（一）项目决策情况</w:t>
      </w:r>
    </w:p>
    <w:p w14:paraId="43A375C3">
      <w:pPr>
        <w:keepNext w:val="0"/>
        <w:keepLines w:val="0"/>
        <w:pageBreakBefore w:val="0"/>
        <w:widowControl w:val="0"/>
        <w:kinsoku/>
        <w:wordWrap/>
        <w:overflowPunct/>
        <w:topLinePunct w:val="0"/>
        <w:autoSpaceDE/>
        <w:autoSpaceDN/>
        <w:bidi w:val="0"/>
        <w:adjustRightInd/>
        <w:ind w:firstLine="560"/>
        <w:textAlignment w:val="auto"/>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20AC9255">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1.项目立项情况分析</w:t>
      </w:r>
    </w:p>
    <w:p w14:paraId="429A896F">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22528087">
      <w:pPr>
        <w:keepNext w:val="0"/>
        <w:keepLines w:val="0"/>
        <w:pageBreakBefore w:val="0"/>
        <w:widowControl w:val="0"/>
        <w:kinsoku/>
        <w:wordWrap/>
        <w:overflowPunct/>
        <w:topLinePunct w:val="0"/>
        <w:autoSpaceDE/>
        <w:autoSpaceDN/>
        <w:bidi w:val="0"/>
        <w:adjustRightInd/>
        <w:ind w:firstLine="560"/>
        <w:textAlignment w:val="auto"/>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2021年自治区民政厅印发《新疆维吾尔自治区最低生活保障审核确认实施实施办法》的通知（新民发〔2021〕2号）,关于印发民政部新修订《特困人员认定办法》的通知（新民发〔2021〕74号），关于贯彻落实《关于关于进一步改革完善社会救助制度的实施意见》的通知（新民发〔2021〕35号）</w:t>
      </w:r>
      <w:r>
        <w:rPr>
          <w:rFonts w:hint="eastAsia"/>
          <w:color w:val="auto"/>
          <w:highlight w:val="none"/>
          <w:lang w:eastAsia="zh-Hans" w:bidi="ar"/>
        </w:rPr>
        <w:t>中</w:t>
      </w:r>
      <w:r>
        <w:rPr>
          <w:rFonts w:hint="eastAsia"/>
          <w:color w:val="auto"/>
          <w:highlight w:val="none"/>
          <w:lang w:val="en-US" w:eastAsia="zh-CN" w:bidi="ar"/>
        </w:rPr>
        <w:t>的</w:t>
      </w:r>
      <w:r>
        <w:rPr>
          <w:rFonts w:hint="eastAsia"/>
          <w:color w:val="auto"/>
          <w:highlight w:val="none"/>
          <w:lang w:eastAsia="zh-Hans"/>
        </w:rPr>
        <w:t>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和静县中心敬老院</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val="en-US" w:eastAsia="zh-CN"/>
        </w:rPr>
        <w:t>要求</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w:t>
      </w:r>
      <w:r>
        <w:rPr>
          <w:rFonts w:hint="eastAsia"/>
          <w:b w:val="0"/>
          <w:bCs w:val="0"/>
          <w:color w:val="auto"/>
          <w:highlight w:val="none"/>
          <w:lang w:eastAsia="zh-Hans"/>
        </w:rPr>
        <w:t>功能分类为“</w:t>
      </w:r>
      <w:r>
        <w:rPr>
          <w:rFonts w:hint="eastAsia"/>
          <w:b w:val="0"/>
          <w:bCs w:val="0"/>
          <w:color w:val="auto"/>
          <w:highlight w:val="none"/>
          <w:lang w:val="en-US" w:eastAsia="zh-CN"/>
        </w:rPr>
        <w:t>2081002老年福利</w:t>
      </w:r>
      <w:r>
        <w:rPr>
          <w:rFonts w:hint="eastAsia"/>
          <w:b w:val="0"/>
          <w:bCs w:val="0"/>
          <w:color w:val="auto"/>
          <w:highlight w:val="none"/>
          <w:lang w:eastAsia="zh-Hans"/>
        </w:rPr>
        <w:t>”经济分类为“</w:t>
      </w:r>
      <w:r>
        <w:rPr>
          <w:rFonts w:hint="eastAsia"/>
          <w:b w:val="0"/>
          <w:bCs w:val="0"/>
          <w:color w:val="auto"/>
          <w:highlight w:val="none"/>
          <w:lang w:val="en-US" w:eastAsia="zh-CN"/>
        </w:rPr>
        <w:t>30306救济费</w:t>
      </w:r>
      <w:r>
        <w:rPr>
          <w:rFonts w:hint="eastAsia"/>
          <w:b w:val="0"/>
          <w:bCs w:val="0"/>
          <w:color w:val="auto"/>
          <w:highlight w:val="none"/>
          <w:lang w:eastAsia="zh-Hans"/>
        </w:rPr>
        <w:t>”</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3743C002">
      <w:pPr>
        <w:keepNext w:val="0"/>
        <w:keepLines w:val="0"/>
        <w:pageBreakBefore w:val="0"/>
        <w:widowControl w:val="0"/>
        <w:kinsoku/>
        <w:wordWrap/>
        <w:overflowPunct/>
        <w:topLinePunct w:val="0"/>
        <w:autoSpaceDE/>
        <w:autoSpaceDN/>
        <w:bidi w:val="0"/>
        <w:adjustRightInd/>
        <w:ind w:firstLine="560"/>
        <w:textAlignment w:val="auto"/>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04C6B01C">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（2）立项程序规范性</w:t>
      </w:r>
    </w:p>
    <w:p w14:paraId="47AF04A6">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本项目按照“保民生、托底线、救急难、可持续”的原则，建立健全与经济发展水平相适应、覆盖城乡的兜牢民生底线的民生保障体系，及时将符合条件的困难群众纳入最低生活保障、特困人员供养等社会救助保障范围，切实保障困难群众基本生活得到有效保障和改善。困难群众的基本生活得到进一步保障，困难群众共享改革发展成果，群众的获得感进一步增强。各项社会救助制度逐步完善，救助申报及审批程序总体趋于公平、公正、公开，救助政策宣传及实施不断推进。不断提升群众对社会救助政策的知晓度以及救助对象对社会救助工作的满意度。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特定目标</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31</w:t>
      </w:r>
      <w:r>
        <w:rPr>
          <w:rFonts w:hint="eastAsia"/>
          <w:color w:val="auto"/>
          <w:highlight w:val="none"/>
          <w:lang w:eastAsia="zh-Hans"/>
        </w:rPr>
        <w:t>万元，</w:t>
      </w:r>
      <w:r>
        <w:rPr>
          <w:rFonts w:hint="eastAsia"/>
          <w:color w:val="auto"/>
          <w:highlight w:val="none"/>
          <w:lang w:eastAsia="zh-CN"/>
        </w:rPr>
        <w:t>该项目按照规定程序申请设立；事前已经过必要的可行性研究、专家论证、集体决策</w:t>
      </w:r>
      <w:r>
        <w:rPr>
          <w:rFonts w:hint="eastAsia"/>
          <w:color w:val="auto"/>
          <w:highlight w:val="none"/>
        </w:rPr>
        <w:t>。</w:t>
      </w:r>
    </w:p>
    <w:p w14:paraId="01720C06">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4709E235">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2.绩效目标情况分析</w:t>
      </w:r>
    </w:p>
    <w:p w14:paraId="4EC477B1">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（1）绩效目标合理性</w:t>
      </w:r>
    </w:p>
    <w:p w14:paraId="7DC77C54">
      <w:pPr>
        <w:keepNext w:val="0"/>
        <w:keepLines w:val="0"/>
        <w:pageBreakBefore w:val="0"/>
        <w:widowControl w:val="0"/>
        <w:kinsoku/>
        <w:wordWrap/>
        <w:overflowPunct/>
        <w:topLinePunct w:val="0"/>
        <w:autoSpaceDE/>
        <w:autoSpaceDN/>
        <w:bidi w:val="0"/>
        <w:adjustRightInd/>
        <w:ind w:firstLine="560"/>
        <w:textAlignment w:val="auto"/>
        <w:rPr>
          <w:color w:val="auto"/>
          <w:highlight w:val="none"/>
          <w:lang w:eastAsia="zh-Hans"/>
        </w:rPr>
      </w:pPr>
      <w:r>
        <w:rPr>
          <w:rFonts w:hint="eastAsia"/>
          <w:color w:val="auto"/>
          <w:highlight w:val="none"/>
        </w:rPr>
        <w:t>本项目已设置年度绩效目标，具体内容为为更多的困难老年人入住养老机构提供照料护理服务，提高生活水平</w:t>
      </w:r>
      <w:r>
        <w:rPr>
          <w:rFonts w:hint="eastAsia"/>
          <w:color w:val="auto"/>
          <w:highlight w:val="none"/>
          <w:lang w:eastAsia="zh-CN"/>
        </w:rPr>
        <w:t>，</w:t>
      </w:r>
      <w:r>
        <w:rPr>
          <w:rFonts w:hint="eastAsia"/>
          <w:color w:val="auto"/>
          <w:highlight w:val="none"/>
        </w:rPr>
        <w:t>推进和谐社会构建、满足民生需要；本项目实际工作为：为更多的困难老年人入住养老机构提供照料护理服务，提高生活水平</w:t>
      </w:r>
      <w:r>
        <w:rPr>
          <w:rFonts w:hint="eastAsia"/>
          <w:color w:val="auto"/>
          <w:highlight w:val="none"/>
          <w:lang w:eastAsia="zh-CN"/>
        </w:rPr>
        <w:t>，</w:t>
      </w:r>
      <w:r>
        <w:rPr>
          <w:rFonts w:hint="eastAsia"/>
          <w:color w:val="auto"/>
          <w:highlight w:val="none"/>
        </w:rPr>
        <w:t>推进和谐社会构建、满足民生需要。绩效目标与实际工作内容一致，两者具有相关性;本项目</w:t>
      </w:r>
      <w:r>
        <w:rPr>
          <w:rFonts w:hint="eastAsia"/>
          <w:color w:val="auto"/>
          <w:highlight w:val="none"/>
          <w:lang w:eastAsia="zh-Hans"/>
        </w:rPr>
        <w:t>按照绩效目标完成数量指标、质量指标、时效指标、成本指标，有效保障了</w:t>
      </w:r>
      <w:r>
        <w:rPr>
          <w:rFonts w:hint="eastAsia"/>
          <w:color w:val="auto"/>
          <w:highlight w:val="none"/>
        </w:rPr>
        <w:t>困难群众基本生活</w:t>
      </w:r>
      <w:r>
        <w:rPr>
          <w:rFonts w:hint="eastAsia"/>
          <w:color w:val="auto"/>
          <w:highlight w:val="none"/>
          <w:lang w:eastAsia="zh-CN"/>
        </w:rPr>
        <w:t>，</w:t>
      </w:r>
      <w:r>
        <w:rPr>
          <w:rFonts w:hint="eastAsia"/>
          <w:color w:val="auto"/>
          <w:highlight w:val="none"/>
        </w:rPr>
        <w:t>不断提升群众对社会救助政策的知晓度以及救助对象对社会救助工作的满意度</w:t>
      </w:r>
      <w:r>
        <w:rPr>
          <w:rFonts w:hint="eastAsia"/>
          <w:color w:val="auto"/>
          <w:highlight w:val="none"/>
          <w:lang w:eastAsia="zh-Hans"/>
        </w:rPr>
        <w:t>，年度绩效目标完成，预期产出效益和效果符合正常的业绩水平。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lang w:val="en-US" w:eastAsia="zh-CN"/>
        </w:rPr>
        <w:t>31</w:t>
      </w:r>
      <w:r>
        <w:rPr>
          <w:color w:val="auto"/>
          <w:highlight w:val="none"/>
        </w:rPr>
        <w:t>万元</w:t>
      </w:r>
      <w:r>
        <w:rPr>
          <w:color w:val="auto"/>
          <w:highlight w:val="none"/>
        </w:rPr>
        <w:t>，《财政项目支出绩效目标表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lang w:val="en-US" w:eastAsia="zh-CN"/>
        </w:rPr>
        <w:t>31</w:t>
      </w:r>
      <w:r>
        <w:rPr>
          <w:color w:val="auto"/>
          <w:highlight w:val="none"/>
        </w:rPr>
        <w:t>万元</w:t>
      </w:r>
      <w:r>
        <w:rPr>
          <w:color w:val="auto"/>
          <w:highlight w:val="none"/>
        </w:rPr>
        <w:t>，</w:t>
      </w:r>
      <w:r>
        <w:rPr>
          <w:rFonts w:hint="eastAsia"/>
          <w:color w:val="auto"/>
          <w:highlight w:val="none"/>
        </w:rPr>
        <w:t>预算确定的</w:t>
      </w:r>
      <w:r>
        <w:rPr>
          <w:rFonts w:hint="eastAsia"/>
          <w:color w:val="auto"/>
          <w:highlight w:val="none"/>
        </w:rPr>
        <w:t>项目资金与预算确定的</w:t>
      </w:r>
      <w:r>
        <w:rPr>
          <w:rFonts w:hint="eastAsia"/>
          <w:color w:val="auto"/>
          <w:highlight w:val="none"/>
          <w:lang w:val="en-US" w:eastAsia="zh-CN"/>
        </w:rPr>
        <w:t>项目投资额相匹配</w:t>
      </w:r>
      <w:r>
        <w:rPr>
          <w:rFonts w:hint="eastAsia"/>
          <w:color w:val="auto"/>
          <w:highlight w:val="none"/>
          <w:lang w:val="en-US" w:eastAsia="zh-CN"/>
        </w:rPr>
        <w:t>。</w:t>
      </w:r>
    </w:p>
    <w:p w14:paraId="7E055CAB">
      <w:pPr>
        <w:keepNext w:val="0"/>
        <w:keepLines w:val="0"/>
        <w:pageBreakBefore w:val="0"/>
        <w:widowControl w:val="0"/>
        <w:kinsoku/>
        <w:wordWrap/>
        <w:overflowPunct/>
        <w:topLinePunct w:val="0"/>
        <w:autoSpaceDE/>
        <w:autoSpaceDN/>
        <w:bidi w:val="0"/>
        <w:adjustRightInd/>
        <w:ind w:firstLine="560"/>
        <w:textAlignment w:val="auto"/>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425A4AEE">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（2）绩效指标明确性</w:t>
      </w:r>
    </w:p>
    <w:p w14:paraId="56DE1F3A">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9</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7</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77.78</w:t>
      </w:r>
      <w:r>
        <w:rPr>
          <w:rFonts w:hint="eastAsia"/>
          <w:color w:val="auto"/>
          <w:highlight w:val="none"/>
          <w:lang w:eastAsia="zh-Hans"/>
        </w:rPr>
        <w:t>%，量化率达70%以上</w:t>
      </w:r>
      <w:r>
        <w:rPr>
          <w:rFonts w:hint="eastAsia"/>
          <w:color w:val="auto"/>
          <w:highlight w:val="none"/>
        </w:rPr>
        <w:t>。</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w:t>
      </w:r>
      <w:r>
        <w:rPr>
          <w:rFonts w:hint="eastAsia"/>
          <w:color w:val="auto"/>
          <w:highlight w:val="none"/>
          <w:lang w:eastAsia="zh-CN"/>
        </w:rPr>
        <w:t>三级指标的年度指标值与年度绩效目标中任务数一致。</w:t>
      </w:r>
    </w:p>
    <w:p w14:paraId="26DE1E99">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489793A7">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3.资金投入情况分析</w:t>
      </w:r>
    </w:p>
    <w:p w14:paraId="3B4FC86E">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lang w:eastAsia="zh-Hans" w:bidi="ar"/>
        </w:rPr>
      </w:pPr>
      <w:r>
        <w:rPr>
          <w:rFonts w:hint="eastAsia"/>
          <w:b/>
          <w:bCs/>
          <w:color w:val="auto"/>
          <w:highlight w:val="none"/>
          <w:lang w:eastAsia="zh-Hans" w:bidi="ar"/>
        </w:rPr>
        <w:t>（1）预算编制科学性</w:t>
      </w:r>
    </w:p>
    <w:p w14:paraId="022F814E">
      <w:pPr>
        <w:keepNext w:val="0"/>
        <w:keepLines w:val="0"/>
        <w:pageBreakBefore w:val="0"/>
        <w:widowControl w:val="0"/>
        <w:kinsoku/>
        <w:wordWrap/>
        <w:overflowPunct/>
        <w:topLinePunct w:val="0"/>
        <w:autoSpaceDE/>
        <w:autoSpaceDN/>
        <w:bidi w:val="0"/>
        <w:adjustRightInd/>
        <w:ind w:firstLine="560"/>
        <w:textAlignment w:val="auto"/>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w:t>
      </w:r>
      <w:r>
        <w:rPr>
          <w:rFonts w:hint="eastAsia"/>
          <w:color w:val="auto"/>
          <w:highlight w:val="none"/>
          <w:lang w:val="en-US" w:eastAsia="zh-CN" w:bidi="ar"/>
        </w:rPr>
        <w:t>文件要求</w:t>
      </w:r>
      <w:r>
        <w:rPr>
          <w:rFonts w:hint="eastAsia"/>
          <w:color w:val="auto"/>
          <w:highlight w:val="none"/>
          <w:lang w:eastAsia="zh-Hans" w:bidi="ar"/>
        </w:rPr>
        <w:t>得出，即预算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7EF9E4FA">
      <w:pPr>
        <w:keepNext w:val="0"/>
        <w:keepLines w:val="0"/>
        <w:pageBreakBefore w:val="0"/>
        <w:widowControl w:val="0"/>
        <w:kinsoku/>
        <w:wordWrap/>
        <w:overflowPunct/>
        <w:topLinePunct w:val="0"/>
        <w:autoSpaceDE/>
        <w:autoSpaceDN/>
        <w:bidi w:val="0"/>
        <w:adjustRightInd/>
        <w:ind w:firstLine="560"/>
        <w:textAlignment w:val="auto"/>
        <w:rPr>
          <w:color w:val="auto"/>
          <w:highlight w:val="none"/>
          <w:lang w:bidi="ar"/>
        </w:rPr>
      </w:pPr>
      <w:r>
        <w:rPr>
          <w:rFonts w:hint="eastAsia"/>
          <w:color w:val="auto"/>
          <w:highlight w:val="none"/>
          <w:lang w:eastAsia="zh-Hans" w:bidi="ar"/>
        </w:rPr>
        <w:t>预算申请内容为</w:t>
      </w:r>
      <w:r>
        <w:rPr>
          <w:rFonts w:hint="eastAsia"/>
          <w:color w:val="auto"/>
          <w:highlight w:val="none"/>
          <w:lang w:val="en-US" w:eastAsia="zh-CN" w:bidi="ar"/>
        </w:rPr>
        <w:t>31万元</w:t>
      </w:r>
      <w:r>
        <w:rPr>
          <w:rFonts w:hint="eastAsia"/>
          <w:color w:val="auto"/>
          <w:highlight w:val="none"/>
          <w:lang w:eastAsia="zh-Hans" w:bidi="ar"/>
        </w:rPr>
        <w:t>，项目实际内容为</w:t>
      </w:r>
      <w:r>
        <w:rPr>
          <w:rFonts w:hint="eastAsia"/>
          <w:color w:val="auto"/>
          <w:highlight w:val="none"/>
          <w:lang w:val="en-US" w:eastAsia="zh-CN" w:bidi="ar"/>
        </w:rPr>
        <w:t>14。25万元</w:t>
      </w:r>
      <w:r>
        <w:rPr>
          <w:rFonts w:hint="eastAsia"/>
          <w:color w:val="auto"/>
          <w:highlight w:val="none"/>
          <w:lang w:eastAsia="zh-Hans" w:bidi="ar"/>
        </w:rPr>
        <w:t>，预算申请与《2023年中央财政困难群众救助补助资金（支持困难失能老年人基本养老服务救助方向）预算的通知</w:t>
      </w:r>
      <w:r>
        <w:rPr>
          <w:rFonts w:hint="eastAsia"/>
          <w:color w:val="auto"/>
          <w:highlight w:val="none"/>
          <w:lang w:bidi="ar"/>
        </w:rPr>
        <w:t>项目实施方案</w:t>
      </w:r>
      <w:r>
        <w:rPr>
          <w:rFonts w:hint="eastAsia"/>
          <w:color w:val="auto"/>
          <w:highlight w:val="none"/>
          <w:lang w:eastAsia="zh-Hans" w:bidi="ar"/>
        </w:rPr>
        <w:t>》中涉及的项目内容匹配</w:t>
      </w:r>
      <w:r>
        <w:rPr>
          <w:rFonts w:hint="eastAsia"/>
          <w:color w:val="auto"/>
          <w:highlight w:val="none"/>
          <w:lang w:bidi="ar"/>
        </w:rPr>
        <w:t>；</w:t>
      </w:r>
    </w:p>
    <w:p w14:paraId="27F5A11D">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31</w:t>
      </w:r>
      <w:r>
        <w:rPr>
          <w:rFonts w:hint="eastAsia"/>
          <w:color w:val="auto"/>
          <w:highlight w:val="none"/>
        </w:rPr>
        <w:t>万元，我单位在预算申请中严格按照单位标准和数量进行核算，其中：救助72人次</w:t>
      </w:r>
      <w:r>
        <w:rPr>
          <w:rFonts w:hint="eastAsia"/>
          <w:color w:val="auto"/>
          <w:highlight w:val="none"/>
          <w:lang w:eastAsia="zh-CN"/>
        </w:rPr>
        <w:t>，基本生活标准标准600元/月/人</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53AB58B7">
      <w:pPr>
        <w:keepNext w:val="0"/>
        <w:keepLines w:val="0"/>
        <w:pageBreakBefore w:val="0"/>
        <w:widowControl w:val="0"/>
        <w:kinsoku/>
        <w:wordWrap/>
        <w:overflowPunct/>
        <w:topLinePunct w:val="0"/>
        <w:autoSpaceDE/>
        <w:autoSpaceDN/>
        <w:bidi w:val="0"/>
        <w:adjustRightInd/>
        <w:ind w:firstLine="560"/>
        <w:textAlignment w:val="auto"/>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710D7CAD">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（2）资金分配合理性</w:t>
      </w:r>
    </w:p>
    <w:p w14:paraId="351F7F87">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申请2023年中央财政困难群众救助补助资金（支持困难失能老年人基本养老服务救助方向）预算的通知项目资金的请示</w:t>
      </w:r>
      <w:r>
        <w:rPr>
          <w:rFonts w:hint="eastAsia"/>
          <w:color w:val="auto"/>
          <w:highlight w:val="none"/>
          <w:lang w:eastAsia="zh-Hans" w:bidi="ar"/>
        </w:rPr>
        <w:t>》</w:t>
      </w:r>
      <w:r>
        <w:rPr>
          <w:rFonts w:hint="eastAsia"/>
          <w:color w:val="auto"/>
          <w:highlight w:val="none"/>
          <w:lang w:bidi="ar"/>
        </w:rPr>
        <w:t>和《2023年中央财政困难群众救助补助资金（支持困难失能老年人基本养老服务救助方向）预算的通知项目实施方案》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。根据《2023年中央财政困难群众救助补助资金（支持困难失能老年人基本养老服务救助方向）预算的通知资金下达文件》文件显示，本项目实际到位资金</w:t>
      </w:r>
      <w:r>
        <w:rPr>
          <w:rFonts w:hint="eastAsia"/>
          <w:color w:val="auto"/>
          <w:highlight w:val="none"/>
          <w:lang w:val="en-US" w:eastAsia="zh-CN" w:bidi="ar"/>
        </w:rPr>
        <w:t>31</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726F24E7">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5BB78D4A">
      <w:pPr>
        <w:pStyle w:val="4"/>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（二）项目过程情况</w:t>
      </w:r>
    </w:p>
    <w:p w14:paraId="676DF2CC">
      <w:pPr>
        <w:keepNext w:val="0"/>
        <w:keepLines w:val="0"/>
        <w:pageBreakBefore w:val="0"/>
        <w:widowControl w:val="0"/>
        <w:kinsoku/>
        <w:wordWrap/>
        <w:overflowPunct/>
        <w:topLinePunct w:val="0"/>
        <w:autoSpaceDE/>
        <w:autoSpaceDN/>
        <w:bidi w:val="0"/>
        <w:adjustRightInd/>
        <w:ind w:firstLine="560"/>
        <w:textAlignment w:val="auto"/>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15.21</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279F71E0">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1.资金管理情况分析</w:t>
      </w:r>
    </w:p>
    <w:p w14:paraId="40D94448">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（1）资金到位率</w:t>
      </w:r>
    </w:p>
    <w:p w14:paraId="101C3BB6">
      <w:pPr>
        <w:ind w:firstLine="560"/>
        <w:rPr>
          <w:color w:val="auto"/>
          <w:highlight w:val="none"/>
        </w:rPr>
      </w:pPr>
      <w:r>
        <w:rPr>
          <w:rFonts w:hint="eastAsia"/>
          <w:color w:val="auto"/>
          <w:highlight w:val="none"/>
        </w:rPr>
        <w:t>本项目预算资金为31万元，其中：本级财政安排资金31万元，其他资金</w:t>
      </w:r>
      <w:r>
        <w:rPr>
          <w:rFonts w:hint="eastAsia"/>
          <w:color w:val="auto"/>
          <w:highlight w:val="none"/>
          <w:lang w:val="en-US" w:eastAsia="zh-CN"/>
        </w:rPr>
        <w:t>0</w:t>
      </w:r>
      <w:r>
        <w:rPr>
          <w:rFonts w:hint="eastAsia"/>
          <w:color w:val="auto"/>
          <w:highlight w:val="none"/>
        </w:rPr>
        <w:t>万元，实际到位资金31万元，资金到位率=（实际到位资金/预算资金）×100%=（31/31）*100%=100%。得分=资金到位率*分值=100%*2=</w:t>
      </w:r>
      <w:r>
        <w:rPr>
          <w:rFonts w:hint="eastAsia"/>
          <w:color w:val="auto"/>
          <w:highlight w:val="none"/>
          <w:lang w:val="en-US" w:eastAsia="zh-CN"/>
        </w:rPr>
        <w:t>2</w:t>
      </w:r>
      <w:r>
        <w:rPr>
          <w:rFonts w:hint="eastAsia"/>
          <w:color w:val="auto"/>
          <w:highlight w:val="none"/>
        </w:rPr>
        <w:t>分。</w:t>
      </w:r>
    </w:p>
    <w:p w14:paraId="08AD18D5">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567C659A">
      <w:pPr>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b/>
          <w:bCs/>
          <w:color w:val="auto"/>
          <w:highlight w:val="none"/>
        </w:rPr>
        <w:t>（2）预算执行率</w:t>
      </w:r>
    </w:p>
    <w:p w14:paraId="167F8BD4">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14.25</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14.25</w:t>
      </w:r>
      <w:r>
        <w:rPr>
          <w:rFonts w:hint="eastAsia"/>
          <w:color w:val="auto"/>
          <w:highlight w:val="none"/>
        </w:rPr>
        <w:t>/31）*100%=45.97%。得分=</w:t>
      </w:r>
      <w:r>
        <w:rPr>
          <w:rFonts w:hint="eastAsia"/>
          <w:color w:val="auto"/>
          <w:highlight w:val="none"/>
          <w:lang w:eastAsia="zh-Hans"/>
        </w:rPr>
        <w:t>预算执行率</w:t>
      </w:r>
      <w:r>
        <w:rPr>
          <w:rFonts w:hint="eastAsia"/>
          <w:color w:val="auto"/>
          <w:highlight w:val="none"/>
        </w:rPr>
        <w:t>*分值=45.97%*7=3.21分。</w:t>
      </w:r>
    </w:p>
    <w:p w14:paraId="65498A58">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3.21</w:t>
      </w:r>
      <w:r>
        <w:rPr>
          <w:rFonts w:hint="eastAsia"/>
          <w:color w:val="auto"/>
          <w:highlight w:val="none"/>
          <w:lang w:eastAsia="zh-Hans"/>
        </w:rPr>
        <w:t>分</w:t>
      </w:r>
      <w:r>
        <w:rPr>
          <w:rFonts w:hint="eastAsia"/>
          <w:color w:val="auto"/>
          <w:highlight w:val="none"/>
        </w:rPr>
        <w:t>，本项目资金分配合理。</w:t>
      </w:r>
    </w:p>
    <w:p w14:paraId="5A6C6ED0">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（3）资金使用合规性</w:t>
      </w:r>
    </w:p>
    <w:p w14:paraId="16D751AF">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和静县中心敬老院</w:t>
      </w:r>
      <w:r>
        <w:rPr>
          <w:rFonts w:hint="eastAsia"/>
          <w:color w:val="auto"/>
          <w:highlight w:val="none"/>
        </w:rPr>
        <w:t>单位</w:t>
      </w:r>
      <w:r>
        <w:rPr>
          <w:color w:val="auto"/>
          <w:highlight w:val="none"/>
        </w:rPr>
        <w:t>资金管理办法》</w:t>
      </w:r>
      <w:r>
        <w:rPr>
          <w:rFonts w:hint="eastAsia"/>
          <w:color w:val="auto"/>
          <w:highlight w:val="none"/>
          <w:lang w:eastAsia="zh-CN"/>
        </w:rPr>
        <w:t>《2023年中央财政困难群众救助补助资金（支持困难失能老年人基本养老服务救助方向）预算的通知</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05411E12">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74DDB27A">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2.组织实施情况分析</w:t>
      </w:r>
    </w:p>
    <w:p w14:paraId="4E831CF4">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（1）管理制度健全性</w:t>
      </w:r>
    </w:p>
    <w:p w14:paraId="334285E7">
      <w:pPr>
        <w:keepNext w:val="0"/>
        <w:keepLines w:val="0"/>
        <w:pageBreakBefore w:val="0"/>
        <w:widowControl w:val="0"/>
        <w:kinsoku/>
        <w:wordWrap/>
        <w:overflowPunct/>
        <w:topLinePunct w:val="0"/>
        <w:autoSpaceDE/>
        <w:autoSpaceDN/>
        <w:bidi w:val="0"/>
        <w:adjustRightInd/>
        <w:ind w:firstLine="560"/>
        <w:textAlignment w:val="auto"/>
        <w:rPr>
          <w:color w:val="auto"/>
          <w:highlight w:val="none"/>
          <w:lang w:eastAsia="zh-Hans"/>
        </w:rPr>
      </w:pPr>
      <w:r>
        <w:rPr>
          <w:rFonts w:hint="eastAsia"/>
          <w:color w:val="auto"/>
          <w:highlight w:val="none"/>
        </w:rPr>
        <w:t>我单位已制定《2023年中央财政困难群众救助补助资金（支持困难失能老年人基本养老服务救助方向）预算的通知资金管理办法》《2023年中央财政困难群众救助补助资金（支持困难失能老年人基本养老服务救助方向）预算的通知收支业务管理制度》《2023年中央财政困难群众救助补助资金（支持困难失能老年人基本养老服务救助方向）预算的通知政府采购业务管理制度》《</w:t>
      </w:r>
      <w:r>
        <w:rPr>
          <w:rFonts w:hint="eastAsia"/>
          <w:color w:val="auto"/>
          <w:highlight w:val="none"/>
          <w:lang w:val="en-US" w:eastAsia="zh-CN"/>
        </w:rPr>
        <w:t>和静县中心敬老院</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7D950CC4">
      <w:pPr>
        <w:keepNext w:val="0"/>
        <w:keepLines w:val="0"/>
        <w:pageBreakBefore w:val="0"/>
        <w:widowControl w:val="0"/>
        <w:kinsoku/>
        <w:wordWrap/>
        <w:overflowPunct/>
        <w:topLinePunct w:val="0"/>
        <w:autoSpaceDE/>
        <w:autoSpaceDN/>
        <w:bidi w:val="0"/>
        <w:adjustRightInd/>
        <w:ind w:firstLine="560"/>
        <w:textAlignment w:val="auto"/>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176313DF">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37AA82D1">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，项目启动实施后，为了加快本项目的实施，成立了2023年中央财政困难群众救助补助资金（支持困难失能老年人基本养老服务救助方向）预算的通知项目工作领导小组，由党组书记</w:t>
      </w:r>
      <w:r>
        <w:rPr>
          <w:rFonts w:hint="eastAsia"/>
          <w:color w:val="auto"/>
          <w:highlight w:val="none"/>
          <w:lang w:val="en-US" w:eastAsia="zh-CN"/>
        </w:rPr>
        <w:t>郑春磊</w:t>
      </w:r>
      <w:r>
        <w:rPr>
          <w:rFonts w:hint="eastAsia"/>
          <w:color w:val="auto"/>
          <w:highlight w:val="none"/>
        </w:rPr>
        <w:t>任组长，负责项目的组织工作；</w:t>
      </w:r>
      <w:r>
        <w:rPr>
          <w:rFonts w:hint="eastAsia"/>
          <w:color w:val="auto"/>
          <w:highlight w:val="none"/>
          <w:lang w:val="en-US" w:eastAsia="zh-CN"/>
        </w:rPr>
        <w:t>其其米克</w:t>
      </w:r>
      <w:r>
        <w:rPr>
          <w:rFonts w:hint="eastAsia"/>
          <w:color w:val="auto"/>
          <w:highlight w:val="none"/>
        </w:rPr>
        <w:t>任副组长，负责项目的实施工作；组员包括：</w:t>
      </w:r>
      <w:r>
        <w:rPr>
          <w:rFonts w:hint="eastAsia"/>
          <w:color w:val="auto"/>
          <w:highlight w:val="none"/>
          <w:lang w:val="en-US" w:eastAsia="zh-CN"/>
        </w:rPr>
        <w:t>王丽珍</w:t>
      </w:r>
      <w:r>
        <w:rPr>
          <w:rFonts w:hint="eastAsia"/>
          <w:color w:val="auto"/>
          <w:highlight w:val="none"/>
        </w:rPr>
        <w:t>和</w:t>
      </w:r>
      <w:r>
        <w:rPr>
          <w:rFonts w:hint="eastAsia"/>
          <w:color w:val="auto"/>
          <w:highlight w:val="none"/>
          <w:lang w:val="en-US" w:eastAsia="zh-CN"/>
        </w:rPr>
        <w:t>武艳葳</w:t>
      </w:r>
      <w:r>
        <w:rPr>
          <w:rFonts w:hint="eastAsia"/>
          <w:color w:val="auto"/>
          <w:highlight w:val="none"/>
        </w:rPr>
        <w:t>，主要负责项目监督管理、验收以及资金核拨等工作。</w:t>
      </w:r>
      <w:r>
        <w:rPr>
          <w:rFonts w:hint="eastAsia"/>
          <w:color w:val="auto"/>
          <w:highlight w:val="none"/>
        </w:rPr>
        <w:t>项目调整及支出调整手续完备；项目合同书、验收报告、技术鉴定等资料齐全并及时归档；项目实施的人员条件、场地设备、信息支撑等落实到位。</w:t>
      </w:r>
    </w:p>
    <w:p w14:paraId="31FAD98D">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4AE518A1">
      <w:pPr>
        <w:pStyle w:val="4"/>
        <w:keepNext w:val="0"/>
        <w:keepLines w:val="0"/>
        <w:pageBreakBefore w:val="0"/>
        <w:widowControl w:val="0"/>
        <w:kinsoku/>
        <w:wordWrap/>
        <w:overflowPunct/>
        <w:topLinePunct w:val="0"/>
        <w:autoSpaceDE/>
        <w:autoSpaceDN/>
        <w:bidi w:val="0"/>
        <w:adjustRightInd/>
        <w:ind w:left="560" w:leftChars="200" w:firstLine="0" w:firstLineChars="0"/>
        <w:textAlignment w:val="auto"/>
        <w:rPr>
          <w:color w:val="auto"/>
          <w:highlight w:val="none"/>
        </w:rPr>
      </w:pPr>
      <w:r>
        <w:rPr>
          <w:rFonts w:hint="eastAsia"/>
          <w:color w:val="auto"/>
          <w:highlight w:val="none"/>
        </w:rPr>
        <w:t>（三）项目产出情况</w:t>
      </w:r>
    </w:p>
    <w:p w14:paraId="4B540E03">
      <w:pPr>
        <w:keepNext w:val="0"/>
        <w:keepLines w:val="0"/>
        <w:pageBreakBefore w:val="0"/>
        <w:widowControl w:val="0"/>
        <w:kinsoku/>
        <w:wordWrap/>
        <w:overflowPunct/>
        <w:topLinePunct w:val="0"/>
        <w:autoSpaceDE/>
        <w:autoSpaceDN/>
        <w:bidi w:val="0"/>
        <w:adjustRightInd/>
        <w:ind w:firstLine="560"/>
        <w:textAlignment w:val="auto"/>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20743FC1">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1.数量指标完成情况分析</w:t>
      </w:r>
    </w:p>
    <w:p w14:paraId="07CADAD2">
      <w:pPr>
        <w:pStyle w:val="6"/>
        <w:keepNext w:val="0"/>
        <w:keepLines w:val="0"/>
        <w:pageBreakBefore w:val="0"/>
        <w:widowControl w:val="0"/>
        <w:kinsoku/>
        <w:wordWrap/>
        <w:overflowPunct/>
        <w:topLinePunct w:val="0"/>
        <w:autoSpaceDE/>
        <w:autoSpaceDN/>
        <w:bidi w:val="0"/>
        <w:adjustRightInd/>
        <w:textAlignment w:val="auto"/>
        <w:rPr>
          <w:rFonts w:hint="eastAsia" w:eastAsia="仿宋_GB2312"/>
          <w:color w:val="auto"/>
          <w:highlight w:val="none"/>
          <w:lang w:eastAsia="zh-CN"/>
        </w:rPr>
      </w:pPr>
      <w:r>
        <w:rPr>
          <w:rFonts w:hint="eastAsia"/>
          <w:color w:val="auto"/>
          <w:highlight w:val="none"/>
          <w:lang w:eastAsia="zh-CN"/>
        </w:rPr>
        <w:t>“救助人次数”指标</w:t>
      </w:r>
      <w:r>
        <w:rPr>
          <w:rFonts w:hint="eastAsia"/>
          <w:color w:val="auto"/>
          <w:highlight w:val="none"/>
        </w:rPr>
        <w:t>:预期指标值为&lt;=72人次，实际完成值为72人次,指标完成率为1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3684FAB4">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rPr>
      </w:pPr>
      <w:r>
        <w:rPr>
          <w:rFonts w:hint="eastAsia"/>
          <w:color w:val="auto"/>
          <w:highlight w:val="none"/>
          <w:lang w:eastAsia="zh-CN"/>
        </w:rPr>
        <w:t>“养老机构数量”指标</w:t>
      </w:r>
      <w:r>
        <w:rPr>
          <w:rFonts w:hint="eastAsia"/>
          <w:color w:val="auto"/>
          <w:highlight w:val="none"/>
        </w:rPr>
        <w:t>:预期指标值为&gt;=1个，实际完成值为</w:t>
      </w:r>
      <w:r>
        <w:rPr>
          <w:rFonts w:hint="eastAsia"/>
          <w:color w:val="auto"/>
          <w:highlight w:val="none"/>
          <w:lang w:val="en-US" w:eastAsia="zh-CN"/>
        </w:rPr>
        <w:t>1</w:t>
      </w:r>
      <w:r>
        <w:rPr>
          <w:rFonts w:hint="eastAsia"/>
          <w:color w:val="auto"/>
          <w:highlight w:val="none"/>
        </w:rPr>
        <w:t>个,指标完成率为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77379A4">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2.质量指标完成情况分析</w:t>
      </w:r>
    </w:p>
    <w:p w14:paraId="0470ED19">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“社会救助对象准确率”指标：预期指标值为1</w:t>
      </w:r>
      <w:r>
        <w:rPr>
          <w:rFonts w:hint="eastAsia"/>
          <w:color w:val="auto"/>
          <w:highlight w:val="none"/>
          <w:lang w:val="en-US" w:eastAsia="zh-CN"/>
        </w:rPr>
        <w:t>00%</w:t>
      </w:r>
      <w:r>
        <w:rPr>
          <w:rFonts w:hint="eastAsia"/>
          <w:color w:val="auto"/>
          <w:highlight w:val="none"/>
        </w:rPr>
        <w:t>，实际完成指标值为1</w:t>
      </w:r>
      <w:r>
        <w:rPr>
          <w:rFonts w:hint="eastAsia"/>
          <w:color w:val="auto"/>
          <w:highlight w:val="none"/>
          <w:lang w:val="en-US" w:eastAsia="zh-CN"/>
        </w:rPr>
        <w:t>00%</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6C2F219">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3.时效指标完成情况分析</w:t>
      </w:r>
    </w:p>
    <w:p w14:paraId="1DB34CA3">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eastAsia="zh-CN"/>
        </w:rPr>
      </w:pPr>
      <w:r>
        <w:rPr>
          <w:rFonts w:hint="eastAsia"/>
          <w:color w:val="auto"/>
          <w:highlight w:val="none"/>
        </w:rPr>
        <w:t>“每月按时发放困难群众供养对象救助金”指标：预期指标值为1</w:t>
      </w:r>
      <w:r>
        <w:rPr>
          <w:rFonts w:hint="eastAsia"/>
          <w:color w:val="auto"/>
          <w:highlight w:val="none"/>
          <w:lang w:val="en-US" w:eastAsia="zh-CN"/>
        </w:rPr>
        <w:t>00%</w:t>
      </w:r>
      <w:r>
        <w:rPr>
          <w:rFonts w:hint="eastAsia"/>
          <w:color w:val="auto"/>
          <w:highlight w:val="none"/>
        </w:rPr>
        <w:t>，实际完成指标值为1</w:t>
      </w:r>
      <w:r>
        <w:rPr>
          <w:rFonts w:hint="eastAsia"/>
          <w:color w:val="auto"/>
          <w:highlight w:val="none"/>
          <w:lang w:val="en-US" w:eastAsia="zh-CN"/>
        </w:rPr>
        <w:t>00%</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AB33181">
      <w:pPr>
        <w:pStyle w:val="4"/>
        <w:keepNext w:val="0"/>
        <w:keepLines w:val="0"/>
        <w:pageBreakBefore w:val="0"/>
        <w:widowControl w:val="0"/>
        <w:kinsoku/>
        <w:wordWrap/>
        <w:overflowPunct/>
        <w:topLinePunct w:val="0"/>
        <w:autoSpaceDE/>
        <w:autoSpaceDN/>
        <w:bidi w:val="0"/>
        <w:adjustRightInd/>
        <w:ind w:firstLine="643"/>
        <w:textAlignment w:val="auto"/>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70CF7377">
      <w:pPr>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11.7</w:t>
      </w:r>
      <w:r>
        <w:rPr>
          <w:rFonts w:hint="eastAsia"/>
          <w:color w:val="auto"/>
          <w:highlight w:val="none"/>
          <w:lang w:val="zh-TW" w:eastAsia="zh-TW"/>
        </w:rPr>
        <w:t>分</w:t>
      </w:r>
      <w:r>
        <w:rPr>
          <w:rFonts w:hint="eastAsia"/>
          <w:color w:val="auto"/>
          <w:highlight w:val="none"/>
          <w:lang w:val="zh-TW"/>
        </w:rPr>
        <w:t>。</w:t>
      </w:r>
    </w:p>
    <w:p w14:paraId="14F30D1D">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45C248CA">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“基本生活标准标准”指标：预期指标值为&lt;=600元/月/人，实际完成指标值为=600元/月/人，指标完成率为1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1CD324E">
      <w:pPr>
        <w:pStyle w:val="2"/>
        <w:keepNext w:val="0"/>
        <w:keepLines w:val="0"/>
        <w:pageBreakBefore w:val="0"/>
        <w:widowControl w:val="0"/>
        <w:kinsoku/>
        <w:wordWrap/>
        <w:overflowPunct/>
        <w:topLinePunct w:val="0"/>
        <w:autoSpaceDE/>
        <w:autoSpaceDN/>
        <w:bidi w:val="0"/>
        <w:adjustRightInd/>
        <w:textAlignment w:val="auto"/>
        <w:rPr>
          <w:rFonts w:hint="eastAsia"/>
          <w:b w:val="0"/>
          <w:bCs w:val="0"/>
          <w:color w:val="auto"/>
          <w:highlight w:val="none"/>
          <w:lang w:eastAsia="zh-CN"/>
        </w:rPr>
      </w:pPr>
      <w:r>
        <w:rPr>
          <w:rFonts w:hint="eastAsia"/>
          <w:b w:val="0"/>
          <w:bCs w:val="0"/>
          <w:color w:val="auto"/>
          <w:highlight w:val="none"/>
        </w:rPr>
        <w:t>“救助总金额”指标：预期指标值为&lt;=31万元，实际完成指标值为</w:t>
      </w:r>
      <w:r>
        <w:rPr>
          <w:rFonts w:hint="eastAsia"/>
          <w:b w:val="0"/>
          <w:bCs w:val="0"/>
          <w:color w:val="auto"/>
          <w:highlight w:val="none"/>
          <w:lang w:val="en-US" w:eastAsia="zh-CN"/>
        </w:rPr>
        <w:t>14.25万元</w:t>
      </w:r>
      <w:r>
        <w:rPr>
          <w:rFonts w:hint="eastAsia"/>
          <w:b w:val="0"/>
          <w:bCs w:val="0"/>
          <w:color w:val="auto"/>
          <w:highlight w:val="none"/>
        </w:rPr>
        <w:t>，指标完成率为</w:t>
      </w:r>
      <w:r>
        <w:rPr>
          <w:rFonts w:hint="eastAsia"/>
          <w:b w:val="0"/>
          <w:bCs w:val="0"/>
          <w:color w:val="auto"/>
          <w:highlight w:val="none"/>
          <w:lang w:val="en-US" w:eastAsia="zh-CN"/>
        </w:rPr>
        <w:t>45.97%</w:t>
      </w:r>
      <w:r>
        <w:rPr>
          <w:rFonts w:hint="eastAsia"/>
          <w:b w:val="0"/>
          <w:bCs w:val="0"/>
          <w:color w:val="auto"/>
          <w:highlight w:val="none"/>
        </w:rPr>
        <w:t>，偏差率</w:t>
      </w:r>
      <w:r>
        <w:rPr>
          <w:rFonts w:hint="eastAsia"/>
          <w:b w:val="0"/>
          <w:bCs w:val="0"/>
          <w:color w:val="auto"/>
          <w:highlight w:val="none"/>
          <w:lang w:val="en-US" w:eastAsia="zh-CN"/>
        </w:rPr>
        <w:t>54.03</w:t>
      </w:r>
      <w:r>
        <w:rPr>
          <w:rFonts w:hint="eastAsia"/>
          <w:b w:val="0"/>
          <w:bCs w:val="0"/>
          <w:color w:val="auto"/>
          <w:highlight w:val="none"/>
        </w:rPr>
        <w:t>%，偏差主要原因是：实际执行过程中因每月</w:t>
      </w:r>
      <w:r>
        <w:rPr>
          <w:rFonts w:hint="eastAsia"/>
          <w:b w:val="0"/>
          <w:bCs w:val="0"/>
          <w:color w:val="auto"/>
          <w:highlight w:val="none"/>
          <w:lang w:val="en-US" w:eastAsia="zh-CN"/>
        </w:rPr>
        <w:t>人数</w:t>
      </w:r>
      <w:r>
        <w:rPr>
          <w:rFonts w:hint="eastAsia"/>
          <w:b w:val="0"/>
          <w:bCs w:val="0"/>
          <w:color w:val="auto"/>
          <w:highlight w:val="none"/>
        </w:rPr>
        <w:t>不固定，金额使用存在偏差。</w:t>
      </w:r>
    </w:p>
    <w:p w14:paraId="4AF06F44">
      <w:pPr>
        <w:pStyle w:val="4"/>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72BB6CE1">
      <w:pPr>
        <w:keepNext w:val="0"/>
        <w:keepLines w:val="0"/>
        <w:pageBreakBefore w:val="0"/>
        <w:widowControl w:val="0"/>
        <w:kinsoku/>
        <w:wordWrap/>
        <w:overflowPunct/>
        <w:topLinePunct w:val="0"/>
        <w:autoSpaceDE/>
        <w:autoSpaceDN/>
        <w:bidi w:val="0"/>
        <w:adjustRightInd/>
        <w:ind w:firstLine="560"/>
        <w:textAlignment w:val="auto"/>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1</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67AC50C8">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718A66BF">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“提高全县农村特困人口最低生活水平”指标：预期指标值为有效</w:t>
      </w:r>
      <w:r>
        <w:rPr>
          <w:rFonts w:hint="eastAsia"/>
          <w:color w:val="auto"/>
          <w:highlight w:val="none"/>
          <w:lang w:val="en-US" w:eastAsia="zh-CN"/>
        </w:rPr>
        <w:t>提升</w:t>
      </w:r>
      <w:r>
        <w:rPr>
          <w:rFonts w:hint="eastAsia"/>
          <w:color w:val="auto"/>
          <w:highlight w:val="none"/>
        </w:rPr>
        <w:t>，实际完成指标值为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DC0C3E7">
      <w:pPr>
        <w:pStyle w:val="6"/>
        <w:keepNext w:val="0"/>
        <w:keepLines w:val="0"/>
        <w:pageBreakBefore w:val="0"/>
        <w:widowControl w:val="0"/>
        <w:kinsoku/>
        <w:wordWrap/>
        <w:overflowPunct/>
        <w:topLinePunct w:val="0"/>
        <w:autoSpaceDE/>
        <w:autoSpaceDN/>
        <w:bidi w:val="0"/>
        <w:adjustRightInd/>
        <w:textAlignment w:val="auto"/>
        <w:rPr>
          <w:rFonts w:hint="default" w:eastAsia="仿宋_GB2312"/>
          <w:color w:val="auto"/>
          <w:highlight w:val="none"/>
          <w:lang w:val="en-US" w:eastAsia="zh-CN"/>
        </w:rPr>
      </w:pPr>
      <w:r>
        <w:rPr>
          <w:rFonts w:hint="eastAsia"/>
          <w:color w:val="auto"/>
          <w:highlight w:val="none"/>
        </w:rPr>
        <w:t>“和谐社会构建、满足民生需要”指标：预期指标值为</w:t>
      </w:r>
      <w:r>
        <w:rPr>
          <w:rFonts w:hint="eastAsia"/>
          <w:color w:val="auto"/>
          <w:highlight w:val="none"/>
          <w:lang w:val="en-US" w:eastAsia="zh-CN"/>
        </w:rPr>
        <w:t>持续构建</w:t>
      </w:r>
      <w:r>
        <w:rPr>
          <w:rFonts w:hint="eastAsia"/>
          <w:color w:val="auto"/>
          <w:highlight w:val="none"/>
        </w:rPr>
        <w:t>，实际完成指标值为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C7108DA">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3A9925A9">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“社会救助服务对象满意度”指标：预期指标值为&gt;=95%，实际完成指标值为=100%，指标完成率为100%，偏差率</w:t>
      </w:r>
      <w:r>
        <w:rPr>
          <w:rFonts w:hint="eastAsia"/>
          <w:color w:val="auto"/>
          <w:highlight w:val="none"/>
          <w:lang w:val="en-US" w:eastAsia="zh-CN"/>
        </w:rPr>
        <w:t>0</w:t>
      </w:r>
      <w:r>
        <w:rPr>
          <w:rFonts w:hint="eastAsia"/>
          <w:color w:val="auto"/>
          <w:highlight w:val="none"/>
        </w:rPr>
        <w:t>%。</w:t>
      </w:r>
    </w:p>
    <w:p w14:paraId="66A7A54D">
      <w:pPr>
        <w:pStyle w:val="3"/>
        <w:keepNext w:val="0"/>
        <w:keepLines w:val="0"/>
        <w:pageBreakBefore w:val="0"/>
        <w:widowControl w:val="0"/>
        <w:kinsoku/>
        <w:wordWrap/>
        <w:overflowPunct/>
        <w:topLinePunct w:val="0"/>
        <w:autoSpaceDE/>
        <w:autoSpaceDN/>
        <w:bidi w:val="0"/>
        <w:adjustRightInd/>
        <w:ind w:firstLine="643"/>
        <w:textAlignment w:val="auto"/>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2BF2FFB3">
      <w:pPr>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31万元，全年预算数为31万元，全年执行数为14.25万元，预算执行率为45.97%。</w:t>
      </w:r>
    </w:p>
    <w:p w14:paraId="2E219770">
      <w:pPr>
        <w:pStyle w:val="6"/>
        <w:keepNext w:val="0"/>
        <w:keepLines w:val="0"/>
        <w:pageBreakBefore w:val="0"/>
        <w:widowControl w:val="0"/>
        <w:kinsoku/>
        <w:wordWrap/>
        <w:overflowPunct/>
        <w:topLinePunct w:val="0"/>
        <w:autoSpaceDE/>
        <w:autoSpaceDN/>
        <w:bidi w:val="0"/>
        <w:adjustRightInd/>
        <w:textAlignment w:val="auto"/>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20</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18个，扣分指标数量2个，经分析计算所有三级指标完成率得出，本项目</w:t>
      </w:r>
      <w:r>
        <w:rPr>
          <w:rFonts w:hint="eastAsia"/>
          <w:color w:val="auto"/>
          <w:highlight w:val="none"/>
        </w:rPr>
        <w:t>总体完成率为</w:t>
      </w:r>
      <w:r>
        <w:rPr>
          <w:rFonts w:hint="eastAsia"/>
          <w:color w:val="auto"/>
          <w:highlight w:val="none"/>
          <w:lang w:val="en-US" w:eastAsia="zh-CN"/>
        </w:rPr>
        <w:t>94.6</w:t>
      </w:r>
      <w:r>
        <w:rPr>
          <w:rFonts w:hint="eastAsia"/>
          <w:color w:val="auto"/>
          <w:highlight w:val="none"/>
          <w:lang w:val="zh-TW" w:eastAsia="zh-TW"/>
        </w:rPr>
        <w:t>%。</w:t>
      </w:r>
    </w:p>
    <w:p w14:paraId="4A72F6F6">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综上所述本项目预算执行率与总体完成率之间的偏差为48.63%。</w:t>
      </w:r>
    </w:p>
    <w:p w14:paraId="41A45127">
      <w:pPr>
        <w:keepNext w:val="0"/>
        <w:keepLines w:val="0"/>
        <w:pageBreakBefore w:val="0"/>
        <w:widowControl w:val="0"/>
        <w:kinsoku/>
        <w:wordWrap/>
        <w:overflowPunct/>
        <w:topLinePunct w:val="0"/>
        <w:autoSpaceDE/>
        <w:autoSpaceDN/>
        <w:bidi w:val="0"/>
        <w:adjustRightInd/>
        <w:ind w:firstLine="560"/>
        <w:textAlignment w:val="auto"/>
        <w:rPr>
          <w:rFonts w:hint="default" w:ascii="Times New Roman" w:hAnsi="Times New Roman" w:cs="Times New Roman"/>
          <w:color w:val="auto"/>
          <w:highlight w:val="none"/>
          <w:u w:color="000000"/>
          <w:lang w:val="zh-TW" w:eastAsia="zh-CN"/>
        </w:rPr>
      </w:pPr>
      <w:r>
        <w:rPr>
          <w:rFonts w:hint="default" w:ascii="Times New Roman" w:hAnsi="Times New Roman" w:cs="Times New Roman"/>
          <w:color w:val="auto"/>
          <w:highlight w:val="none"/>
          <w:u w:color="000000"/>
          <w:lang w:val="zh-TW" w:eastAsia="zh-CN"/>
        </w:rPr>
        <w:t>此项目有偏离，偏差率</w:t>
      </w:r>
      <w:r>
        <w:rPr>
          <w:rFonts w:hint="eastAsia"/>
          <w:color w:val="auto"/>
          <w:highlight w:val="none"/>
          <w:lang w:val="en-US" w:eastAsia="zh-CN"/>
        </w:rPr>
        <w:t>48.63</w:t>
      </w:r>
      <w:r>
        <w:rPr>
          <w:rFonts w:hint="default" w:ascii="Times New Roman" w:hAnsi="Times New Roman" w:cs="Times New Roman"/>
          <w:color w:val="auto"/>
          <w:highlight w:val="none"/>
          <w:u w:color="000000"/>
          <w:lang w:val="zh-TW" w:eastAsia="zh-CN"/>
        </w:rPr>
        <w:t>%，造成偏离的主要原因是：本单位2023年中央财政困难群众救助补助资金（支持困难失能老年人基本养老服务救助方向）预算的通知项目</w:t>
      </w:r>
      <w:r>
        <w:rPr>
          <w:rFonts w:hint="eastAsia" w:ascii="Times New Roman" w:hAnsi="Times New Roman" w:cs="Times New Roman"/>
          <w:color w:val="auto"/>
          <w:highlight w:val="none"/>
          <w:u w:color="000000"/>
          <w:lang w:val="zh-TW" w:eastAsia="zh-CN"/>
        </w:rPr>
        <w:t>“</w:t>
      </w:r>
      <w:r>
        <w:rPr>
          <w:rFonts w:hint="eastAsia"/>
          <w:b w:val="0"/>
          <w:bCs w:val="0"/>
          <w:color w:val="auto"/>
          <w:highlight w:val="none"/>
        </w:rPr>
        <w:t>救助总金额”指标</w:t>
      </w:r>
      <w:r>
        <w:rPr>
          <w:rFonts w:hint="default" w:ascii="Times New Roman" w:hAnsi="Times New Roman" w:cs="Times New Roman"/>
          <w:color w:val="auto"/>
          <w:highlight w:val="none"/>
          <w:u w:color="000000"/>
          <w:lang w:val="en-US" w:eastAsia="zh-CN"/>
        </w:rPr>
        <w:t>，由于</w:t>
      </w:r>
      <w:r>
        <w:rPr>
          <w:rFonts w:hint="eastAsia"/>
          <w:b w:val="0"/>
          <w:bCs w:val="0"/>
          <w:color w:val="auto"/>
          <w:highlight w:val="none"/>
        </w:rPr>
        <w:t>实际执行过程中因每月</w:t>
      </w:r>
      <w:r>
        <w:rPr>
          <w:rFonts w:hint="eastAsia"/>
          <w:b w:val="0"/>
          <w:bCs w:val="0"/>
          <w:color w:val="auto"/>
          <w:highlight w:val="none"/>
          <w:lang w:val="en-US" w:eastAsia="zh-CN"/>
        </w:rPr>
        <w:t>人数</w:t>
      </w:r>
      <w:r>
        <w:rPr>
          <w:rFonts w:hint="eastAsia"/>
          <w:b w:val="0"/>
          <w:bCs w:val="0"/>
          <w:color w:val="auto"/>
          <w:highlight w:val="none"/>
        </w:rPr>
        <w:t>不固定</w:t>
      </w:r>
      <w:r>
        <w:rPr>
          <w:rFonts w:hint="default" w:ascii="Times New Roman" w:hAnsi="Times New Roman" w:cs="Times New Roman"/>
          <w:color w:val="auto"/>
          <w:highlight w:val="none"/>
          <w:u w:color="000000"/>
          <w:lang w:val="en-US" w:eastAsia="zh-CN"/>
        </w:rPr>
        <w:t>,导致</w:t>
      </w:r>
      <w:r>
        <w:rPr>
          <w:rFonts w:hint="eastAsia"/>
          <w:b w:val="0"/>
          <w:bCs w:val="0"/>
          <w:color w:val="auto"/>
          <w:highlight w:val="none"/>
        </w:rPr>
        <w:t>金额使用存在偏差</w:t>
      </w:r>
      <w:r>
        <w:rPr>
          <w:rFonts w:hint="default" w:ascii="Times New Roman" w:hAnsi="Times New Roman" w:cs="Times New Roman"/>
          <w:color w:val="auto"/>
          <w:highlight w:val="none"/>
          <w:u w:color="000000"/>
          <w:lang w:val="zh-TW" w:eastAsia="zh-CN"/>
        </w:rPr>
        <w:t>。</w:t>
      </w:r>
    </w:p>
    <w:p w14:paraId="2C7E7909">
      <w:pPr>
        <w:pStyle w:val="3"/>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2F8929A3">
      <w:pPr>
        <w:pStyle w:val="4"/>
        <w:keepNext w:val="0"/>
        <w:keepLines w:val="0"/>
        <w:pageBreakBefore w:val="0"/>
        <w:widowControl w:val="0"/>
        <w:numPr>
          <w:ilvl w:val="0"/>
          <w:numId w:val="4"/>
        </w:numPr>
        <w:kinsoku/>
        <w:wordWrap/>
        <w:overflowPunct/>
        <w:topLinePunct w:val="0"/>
        <w:autoSpaceDE/>
        <w:autoSpaceDN/>
        <w:bidi w:val="0"/>
        <w:adjustRightInd/>
        <w:ind w:firstLine="643"/>
        <w:textAlignment w:val="auto"/>
        <w:rPr>
          <w:color w:val="auto"/>
          <w:highlight w:val="none"/>
        </w:rPr>
      </w:pPr>
      <w:bookmarkStart w:id="12" w:name="_Toc28290"/>
      <w:bookmarkStart w:id="13" w:name="_Toc1921"/>
      <w:r>
        <w:rPr>
          <w:rFonts w:hint="eastAsia"/>
          <w:color w:val="auto"/>
          <w:highlight w:val="none"/>
        </w:rPr>
        <w:t>主要经验及做法</w:t>
      </w:r>
    </w:p>
    <w:bookmarkEnd w:id="12"/>
    <w:bookmarkEnd w:id="13"/>
    <w:p w14:paraId="7D1F6DA9">
      <w:pPr>
        <w:keepNext w:val="0"/>
        <w:keepLines w:val="0"/>
        <w:pageBreakBefore w:val="0"/>
        <w:widowControl w:val="0"/>
        <w:kinsoku/>
        <w:wordWrap/>
        <w:overflowPunct/>
        <w:topLinePunct w:val="0"/>
        <w:autoSpaceDE/>
        <w:autoSpaceDN/>
        <w:bidi w:val="0"/>
        <w:adjustRightInd/>
        <w:ind w:firstLine="562"/>
        <w:textAlignment w:val="auto"/>
        <w:rPr>
          <w:b w:val="0"/>
          <w:bCs w:val="0"/>
          <w:color w:val="auto"/>
          <w:highlight w:val="none"/>
        </w:rPr>
      </w:pPr>
      <w:r>
        <w:rPr>
          <w:rFonts w:hint="eastAsia"/>
          <w:b w:val="0"/>
          <w:bCs w:val="0"/>
          <w:color w:val="auto"/>
          <w:highlight w:val="none"/>
        </w:rPr>
        <w:t>我单位严控资金的拨付使用</w:t>
      </w:r>
      <w:r>
        <w:rPr>
          <w:rFonts w:hint="eastAsia"/>
          <w:b w:val="0"/>
          <w:bCs w:val="0"/>
          <w:color w:val="auto"/>
          <w:highlight w:val="none"/>
          <w:lang w:eastAsia="zh-CN"/>
        </w:rPr>
        <w:t>，</w:t>
      </w:r>
      <w:r>
        <w:rPr>
          <w:rFonts w:hint="eastAsia"/>
          <w:b w:val="0"/>
          <w:bCs w:val="0"/>
          <w:color w:val="auto"/>
          <w:highlight w:val="none"/>
        </w:rPr>
        <w:t>严格遵守《会计法》、《预算法》、《行政单位财务规则》等法律和有关财政财务规章，规范财政资金管理，量入为出，统筹兼顾，突出重点，讲究实效，防范风险，合理使用各项资金，确保了我单位预算管理的成效，全年预算支出整体受控。支出符合国家财经法规和财务管理制度规定以及有关专项资金管理办法的规定；资金拨付有完整的审批程序和手续；资金使用无截留、挤占、挪用、虚列支出等情况，并制定出了切实可行的实施计划、管理办法等。</w:t>
      </w:r>
    </w:p>
    <w:p w14:paraId="4D285E8A">
      <w:pPr>
        <w:pStyle w:val="4"/>
        <w:keepNext w:val="0"/>
        <w:keepLines w:val="0"/>
        <w:pageBreakBefore w:val="0"/>
        <w:widowControl w:val="0"/>
        <w:numPr>
          <w:ilvl w:val="0"/>
          <w:numId w:val="4"/>
        </w:numPr>
        <w:kinsoku/>
        <w:wordWrap/>
        <w:overflowPunct/>
        <w:topLinePunct w:val="0"/>
        <w:autoSpaceDE/>
        <w:autoSpaceDN/>
        <w:bidi w:val="0"/>
        <w:adjustRightInd/>
        <w:ind w:firstLine="643"/>
        <w:textAlignment w:val="auto"/>
        <w:rPr>
          <w:color w:val="auto"/>
          <w:highlight w:val="none"/>
        </w:rPr>
      </w:pPr>
      <w:r>
        <w:rPr>
          <w:rFonts w:hint="eastAsia"/>
          <w:color w:val="auto"/>
          <w:highlight w:val="none"/>
        </w:rPr>
        <w:t>存在的问题及原因分析</w:t>
      </w:r>
    </w:p>
    <w:p w14:paraId="274262DF">
      <w:pPr>
        <w:ind w:firstLine="560"/>
        <w:rPr>
          <w:rFonts w:hint="eastAsia" w:ascii="Times New Roman" w:hAnsi="Times New Roman" w:cs="Times New Roman"/>
          <w:color w:val="auto"/>
          <w:highlight w:val="none"/>
          <w:u w:color="000000"/>
          <w:shd w:val="clear" w:color="auto" w:fill="auto"/>
          <w:lang w:val="en-US" w:eastAsia="zh-CN"/>
        </w:rPr>
      </w:pPr>
      <w:r>
        <w:rPr>
          <w:rFonts w:hint="eastAsia" w:ascii="Times New Roman" w:hAnsi="Times New Roman" w:cs="Times New Roman"/>
          <w:color w:val="auto"/>
          <w:highlight w:val="none"/>
          <w:u w:color="000000"/>
          <w:shd w:val="clear" w:color="auto" w:fill="auto"/>
          <w:lang w:val="en-US" w:eastAsia="zh-CN"/>
        </w:rPr>
        <w:t>1、主要体现为基层统计工作基础还需进一步夯实，统计专业人员少，工作压力大，乡镇统计信息化建设水平仍需要进一步提高；统计数据开发利用不够，统计咨询、监督等作用发挥不够充分，统计分析深度、广度不够，统计工作效能有待进一步提高等等。面对这些问题我们将认真分析，切实加以解决，进一步完善财务制度，规范财经纪律，严格控制非生产性开支，进一步提高项目支出水平。</w:t>
      </w:r>
    </w:p>
    <w:p w14:paraId="2F8755E1">
      <w:pPr>
        <w:ind w:firstLine="560"/>
        <w:rPr>
          <w:rFonts w:hint="eastAsia" w:ascii="Times New Roman" w:hAnsi="Times New Roman" w:cs="Times New Roman"/>
          <w:color w:val="auto"/>
          <w:highlight w:val="none"/>
          <w:u w:color="000000"/>
          <w:shd w:val="clear" w:color="auto" w:fill="auto"/>
          <w:lang w:val="en-US" w:eastAsia="zh-CN"/>
        </w:rPr>
      </w:pPr>
      <w:r>
        <w:rPr>
          <w:rFonts w:hint="eastAsia" w:ascii="Times New Roman" w:hAnsi="Times New Roman" w:cs="Times New Roman"/>
          <w:color w:val="auto"/>
          <w:highlight w:val="none"/>
          <w:u w:color="000000"/>
          <w:shd w:val="clear" w:color="auto" w:fill="auto"/>
          <w:lang w:val="en-US" w:eastAsia="zh-CN"/>
        </w:rPr>
        <w:t>2、专项资金相关管理制度和内部控制制度还有待完善，专项投入面过宽，资金效益难以形成合力。</w:t>
      </w:r>
    </w:p>
    <w:p w14:paraId="05DC7720">
      <w:pPr>
        <w:ind w:firstLine="560"/>
        <w:rPr>
          <w:color w:val="auto"/>
          <w:highlight w:val="none"/>
          <w:shd w:val="clear" w:color="auto" w:fill="auto"/>
        </w:rPr>
      </w:pPr>
      <w:r>
        <w:rPr>
          <w:rFonts w:hint="eastAsia" w:ascii="Times New Roman" w:hAnsi="Times New Roman" w:cs="Times New Roman"/>
          <w:color w:val="auto"/>
          <w:highlight w:val="none"/>
          <w:u w:color="000000"/>
          <w:shd w:val="clear" w:color="auto" w:fill="auto"/>
          <w:lang w:val="en-US" w:eastAsia="zh-CN"/>
        </w:rPr>
        <w:t>3、对绩效监控的管理认识模糊，主要是思想上不重视，加强相关政策和业务的学习。</w:t>
      </w:r>
    </w:p>
    <w:p w14:paraId="7BA3BAC7">
      <w:pPr>
        <w:pStyle w:val="3"/>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lang w:eastAsia="zh-CN"/>
        </w:rPr>
        <w:t>七</w:t>
      </w:r>
      <w:r>
        <w:rPr>
          <w:rFonts w:hint="eastAsia"/>
          <w:color w:val="auto"/>
          <w:highlight w:val="none"/>
        </w:rPr>
        <w:t>、有关建议</w:t>
      </w:r>
    </w:p>
    <w:p w14:paraId="24EAE88E">
      <w:pPr>
        <w:ind w:firstLine="560"/>
        <w:rPr>
          <w:rFonts w:hint="eastAsia" w:ascii="Times New Roman" w:hAnsi="Times New Roman" w:cs="Times New Roman"/>
          <w:color w:val="auto"/>
          <w:highlight w:val="none"/>
          <w:u w:color="000000"/>
          <w:shd w:val="clear" w:color="auto" w:fill="auto"/>
          <w:lang w:val="en-US" w:eastAsia="zh-CN"/>
        </w:rPr>
      </w:pPr>
      <w:r>
        <w:rPr>
          <w:rFonts w:hint="eastAsia" w:ascii="Times New Roman" w:hAnsi="Times New Roman" w:cs="Times New Roman"/>
          <w:color w:val="auto"/>
          <w:highlight w:val="none"/>
          <w:u w:color="000000"/>
          <w:shd w:val="clear" w:color="auto" w:fill="auto"/>
          <w:lang w:val="en-US" w:eastAsia="zh-CN"/>
        </w:rPr>
        <w:t>1、加强基层统计专业人员的能力提升，减少基层工作压力，提高乡镇统计信息化建设水平；充分发挥统计数据，统计咨询、监督等作用，进一步完善财务制度，规范财经纪律，严格控制非生产性开支，进一步提高项目支出水平。</w:t>
      </w:r>
    </w:p>
    <w:p w14:paraId="3B4A9446">
      <w:pPr>
        <w:ind w:firstLine="560"/>
        <w:rPr>
          <w:rFonts w:hint="eastAsia" w:ascii="Times New Roman" w:hAnsi="Times New Roman" w:cs="Times New Roman"/>
          <w:color w:val="auto"/>
          <w:highlight w:val="none"/>
          <w:u w:color="000000"/>
          <w:shd w:val="clear" w:color="auto" w:fill="auto"/>
          <w:lang w:val="en-US" w:eastAsia="zh-CN"/>
        </w:rPr>
      </w:pPr>
      <w:r>
        <w:rPr>
          <w:rFonts w:hint="eastAsia" w:ascii="Times New Roman" w:hAnsi="Times New Roman" w:cs="Times New Roman"/>
          <w:color w:val="auto"/>
          <w:highlight w:val="none"/>
          <w:u w:color="000000"/>
          <w:shd w:val="clear" w:color="auto" w:fill="auto"/>
          <w:lang w:val="en-US" w:eastAsia="zh-CN"/>
        </w:rPr>
        <w:t>2、完善专项资金相关管理制度和内部控制制度，集中专项投入，使资金效益形成合力。</w:t>
      </w:r>
    </w:p>
    <w:p w14:paraId="1CEDA5C5">
      <w:pPr>
        <w:pStyle w:val="3"/>
        <w:ind w:firstLine="643"/>
        <w:rPr>
          <w:rFonts w:hint="eastAsia" w:ascii="Times New Roman" w:hAnsi="Times New Roman" w:eastAsia="仿宋_GB2312" w:cs="Times New Roman"/>
          <w:b w:val="0"/>
          <w:color w:val="auto"/>
          <w:kern w:val="2"/>
          <w:sz w:val="28"/>
          <w:szCs w:val="24"/>
          <w:highlight w:val="none"/>
          <w:u w:color="000000"/>
          <w:shd w:val="clear" w:color="auto" w:fill="auto"/>
          <w:lang w:val="en-US" w:eastAsia="zh-CN" w:bidi="ar-SA"/>
        </w:rPr>
      </w:pPr>
      <w:r>
        <w:rPr>
          <w:rFonts w:hint="eastAsia" w:eastAsia="仿宋_GB2312" w:cs="Times New Roman"/>
          <w:b w:val="0"/>
          <w:color w:val="auto"/>
          <w:kern w:val="2"/>
          <w:sz w:val="28"/>
          <w:szCs w:val="24"/>
          <w:highlight w:val="none"/>
          <w:u w:color="000000"/>
          <w:shd w:val="clear" w:color="auto" w:fill="auto"/>
          <w:lang w:val="en-US" w:eastAsia="zh-CN" w:bidi="ar-SA"/>
        </w:rPr>
        <w:t>3</w:t>
      </w:r>
      <w:r>
        <w:rPr>
          <w:rFonts w:hint="eastAsia" w:ascii="Times New Roman" w:hAnsi="Times New Roman" w:eastAsia="仿宋_GB2312" w:cs="Times New Roman"/>
          <w:b w:val="0"/>
          <w:color w:val="auto"/>
          <w:kern w:val="2"/>
          <w:sz w:val="28"/>
          <w:szCs w:val="24"/>
          <w:highlight w:val="none"/>
          <w:u w:color="000000"/>
          <w:shd w:val="clear" w:color="auto" w:fill="auto"/>
          <w:lang w:val="en-US" w:eastAsia="zh-CN" w:bidi="ar-SA"/>
        </w:rPr>
        <w:t>、</w:t>
      </w:r>
      <w:r>
        <w:rPr>
          <w:rFonts w:hint="eastAsia" w:eastAsia="仿宋_GB2312" w:cs="Times New Roman"/>
          <w:b w:val="0"/>
          <w:color w:val="auto"/>
          <w:kern w:val="2"/>
          <w:sz w:val="28"/>
          <w:szCs w:val="24"/>
          <w:highlight w:val="none"/>
          <w:u w:color="000000"/>
          <w:shd w:val="clear" w:color="auto" w:fill="auto"/>
          <w:lang w:val="en-US" w:eastAsia="zh-CN" w:bidi="ar-SA"/>
        </w:rPr>
        <w:t>加强</w:t>
      </w:r>
      <w:r>
        <w:rPr>
          <w:rFonts w:hint="eastAsia" w:ascii="Times New Roman" w:hAnsi="Times New Roman" w:eastAsia="仿宋_GB2312" w:cs="Times New Roman"/>
          <w:b w:val="0"/>
          <w:color w:val="auto"/>
          <w:kern w:val="2"/>
          <w:sz w:val="28"/>
          <w:szCs w:val="24"/>
          <w:highlight w:val="none"/>
          <w:u w:color="000000"/>
          <w:shd w:val="clear" w:color="auto" w:fill="auto"/>
          <w:lang w:val="en-US" w:eastAsia="zh-CN" w:bidi="ar-SA"/>
        </w:rPr>
        <w:t>绩效监控的</w:t>
      </w:r>
      <w:r>
        <w:rPr>
          <w:rFonts w:hint="eastAsia" w:eastAsia="仿宋_GB2312" w:cs="Times New Roman"/>
          <w:b w:val="0"/>
          <w:color w:val="auto"/>
          <w:kern w:val="2"/>
          <w:sz w:val="28"/>
          <w:szCs w:val="24"/>
          <w:highlight w:val="none"/>
          <w:u w:color="000000"/>
          <w:shd w:val="clear" w:color="auto" w:fill="auto"/>
          <w:lang w:val="en-US" w:eastAsia="zh-CN" w:bidi="ar-SA"/>
        </w:rPr>
        <w:t>学习培训力度</w:t>
      </w:r>
      <w:r>
        <w:rPr>
          <w:rFonts w:hint="eastAsia" w:ascii="Times New Roman" w:hAnsi="Times New Roman" w:eastAsia="仿宋_GB2312" w:cs="Times New Roman"/>
          <w:b w:val="0"/>
          <w:color w:val="auto"/>
          <w:kern w:val="2"/>
          <w:sz w:val="28"/>
          <w:szCs w:val="24"/>
          <w:highlight w:val="none"/>
          <w:u w:color="000000"/>
          <w:shd w:val="clear" w:color="auto" w:fill="auto"/>
          <w:lang w:val="en-US" w:eastAsia="zh-CN" w:bidi="ar-SA"/>
        </w:rPr>
        <w:t>，思想上</w:t>
      </w:r>
      <w:r>
        <w:rPr>
          <w:rFonts w:hint="eastAsia" w:eastAsia="仿宋_GB2312" w:cs="Times New Roman"/>
          <w:b w:val="0"/>
          <w:color w:val="auto"/>
          <w:kern w:val="2"/>
          <w:sz w:val="28"/>
          <w:szCs w:val="24"/>
          <w:highlight w:val="none"/>
          <w:u w:color="000000"/>
          <w:shd w:val="clear" w:color="auto" w:fill="auto"/>
          <w:lang w:val="en-US" w:eastAsia="zh-CN" w:bidi="ar-SA"/>
        </w:rPr>
        <w:t>做到</w:t>
      </w:r>
      <w:r>
        <w:rPr>
          <w:rFonts w:hint="eastAsia" w:ascii="Times New Roman" w:hAnsi="Times New Roman" w:eastAsia="仿宋_GB2312" w:cs="Times New Roman"/>
          <w:b w:val="0"/>
          <w:color w:val="auto"/>
          <w:kern w:val="2"/>
          <w:sz w:val="28"/>
          <w:szCs w:val="24"/>
          <w:highlight w:val="none"/>
          <w:u w:color="000000"/>
          <w:shd w:val="clear" w:color="auto" w:fill="auto"/>
          <w:lang w:val="en-US" w:eastAsia="zh-CN" w:bidi="ar-SA"/>
        </w:rPr>
        <w:t>重视，加强相关政策和业务的学习</w:t>
      </w:r>
      <w:r>
        <w:rPr>
          <w:rFonts w:hint="eastAsia" w:eastAsia="仿宋_GB2312" w:cs="Times New Roman"/>
          <w:b w:val="0"/>
          <w:color w:val="auto"/>
          <w:kern w:val="2"/>
          <w:sz w:val="28"/>
          <w:szCs w:val="24"/>
          <w:highlight w:val="none"/>
          <w:u w:color="000000"/>
          <w:shd w:val="clear" w:color="auto" w:fill="auto"/>
          <w:lang w:val="en-US" w:eastAsia="zh-CN" w:bidi="ar-SA"/>
        </w:rPr>
        <w:t>频率</w:t>
      </w:r>
      <w:r>
        <w:rPr>
          <w:rFonts w:hint="eastAsia" w:ascii="Times New Roman" w:hAnsi="Times New Roman" w:eastAsia="仿宋_GB2312" w:cs="Times New Roman"/>
          <w:b w:val="0"/>
          <w:color w:val="auto"/>
          <w:kern w:val="2"/>
          <w:sz w:val="28"/>
          <w:szCs w:val="24"/>
          <w:highlight w:val="none"/>
          <w:u w:color="000000"/>
          <w:shd w:val="clear" w:color="auto" w:fill="auto"/>
          <w:lang w:val="en-US" w:eastAsia="zh-CN" w:bidi="ar-SA"/>
        </w:rPr>
        <w:t>。</w:t>
      </w:r>
    </w:p>
    <w:p w14:paraId="084A00E7">
      <w:pPr>
        <w:pStyle w:val="3"/>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lang w:eastAsia="zh-CN"/>
        </w:rPr>
        <w:t>八</w:t>
      </w:r>
      <w:r>
        <w:rPr>
          <w:rFonts w:hint="eastAsia"/>
          <w:color w:val="auto"/>
          <w:highlight w:val="none"/>
        </w:rPr>
        <w:t>、其他需要说明的问题</w:t>
      </w:r>
    </w:p>
    <w:p w14:paraId="20922C96">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031917F5">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3881C9F9">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2E5F28F0">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（三）评价结果分别编入政府决算和部门预算，报送本级人民代表大会常务委员会，并依法予以公开。</w:t>
      </w:r>
    </w:p>
    <w:p w14:paraId="5BC79F7F">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20BDA2F3">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708BE359">
      <w:pPr>
        <w:pStyle w:val="3"/>
        <w:keepNext w:val="0"/>
        <w:keepLines w:val="0"/>
        <w:pageBreakBefore w:val="0"/>
        <w:widowControl w:val="0"/>
        <w:kinsoku/>
        <w:wordWrap/>
        <w:overflowPunct/>
        <w:topLinePunct w:val="0"/>
        <w:autoSpaceDE/>
        <w:autoSpaceDN/>
        <w:bidi w:val="0"/>
        <w:adjustRightInd/>
        <w:ind w:firstLine="640"/>
        <w:textAlignment w:val="auto"/>
        <w:rPr>
          <w:color w:val="auto"/>
          <w:highlight w:val="none"/>
        </w:rPr>
      </w:pPr>
      <w:r>
        <w:rPr>
          <w:rFonts w:hint="eastAsia"/>
          <w:color w:val="auto"/>
          <w:highlight w:val="none"/>
          <w:lang w:eastAsia="zh-CN"/>
        </w:rPr>
        <w:t>九、</w:t>
      </w:r>
      <w:r>
        <w:rPr>
          <w:rFonts w:hint="eastAsia"/>
          <w:color w:val="auto"/>
          <w:highlight w:val="none"/>
        </w:rPr>
        <w:t>附表</w:t>
      </w:r>
    </w:p>
    <w:p w14:paraId="486A9FA5">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附件1：项目支出绩效评价绩效评价体系</w:t>
      </w:r>
    </w:p>
    <w:p w14:paraId="71032D32">
      <w:pPr>
        <w:keepNext w:val="0"/>
        <w:keepLines w:val="0"/>
        <w:pageBreakBefore w:val="0"/>
        <w:widowControl w:val="0"/>
        <w:kinsoku/>
        <w:wordWrap/>
        <w:overflowPunct/>
        <w:topLinePunct w:val="0"/>
        <w:autoSpaceDE/>
        <w:autoSpaceDN/>
        <w:bidi w:val="0"/>
        <w:adjustRightInd/>
        <w:ind w:firstLine="560"/>
        <w:textAlignment w:val="auto"/>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05CD17AA">
      <w:pPr>
        <w:pStyle w:val="2"/>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5A2E04">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97C716">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36712E">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D78FCD">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095AD8">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2095AD8">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8B97F">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470C7C">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7F6D5B">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21A4C78"/>
    <w:rsid w:val="03477AD4"/>
    <w:rsid w:val="03BB00BF"/>
    <w:rsid w:val="04FF572D"/>
    <w:rsid w:val="066F70AA"/>
    <w:rsid w:val="06CE706A"/>
    <w:rsid w:val="0708351A"/>
    <w:rsid w:val="08E16A8D"/>
    <w:rsid w:val="09944CF1"/>
    <w:rsid w:val="099D6902"/>
    <w:rsid w:val="0A401CF1"/>
    <w:rsid w:val="0AD64679"/>
    <w:rsid w:val="0CB12375"/>
    <w:rsid w:val="0D1F042E"/>
    <w:rsid w:val="0D537DC9"/>
    <w:rsid w:val="0D885E3E"/>
    <w:rsid w:val="0DAE2941"/>
    <w:rsid w:val="0DB13246"/>
    <w:rsid w:val="0E5451B9"/>
    <w:rsid w:val="0E760F4E"/>
    <w:rsid w:val="0F9F0794"/>
    <w:rsid w:val="0FD82DB5"/>
    <w:rsid w:val="110267F4"/>
    <w:rsid w:val="1103023A"/>
    <w:rsid w:val="118C0775"/>
    <w:rsid w:val="128D0D77"/>
    <w:rsid w:val="12F1313F"/>
    <w:rsid w:val="1609105D"/>
    <w:rsid w:val="17AF7810"/>
    <w:rsid w:val="17B44F21"/>
    <w:rsid w:val="1A002E18"/>
    <w:rsid w:val="1A041D47"/>
    <w:rsid w:val="1BEA0FE8"/>
    <w:rsid w:val="1C4A596B"/>
    <w:rsid w:val="1DE726D8"/>
    <w:rsid w:val="1FDC50EC"/>
    <w:rsid w:val="20457706"/>
    <w:rsid w:val="20A2086D"/>
    <w:rsid w:val="20A32962"/>
    <w:rsid w:val="20B21A37"/>
    <w:rsid w:val="21267B5B"/>
    <w:rsid w:val="21817779"/>
    <w:rsid w:val="21A41209"/>
    <w:rsid w:val="22A83B02"/>
    <w:rsid w:val="23C93BD9"/>
    <w:rsid w:val="245E1E24"/>
    <w:rsid w:val="24F8319B"/>
    <w:rsid w:val="256845EA"/>
    <w:rsid w:val="25A91CF5"/>
    <w:rsid w:val="26EF3957"/>
    <w:rsid w:val="276D2F47"/>
    <w:rsid w:val="289879A1"/>
    <w:rsid w:val="28A61969"/>
    <w:rsid w:val="28E60D8A"/>
    <w:rsid w:val="291D0633"/>
    <w:rsid w:val="29C05630"/>
    <w:rsid w:val="2A053F0F"/>
    <w:rsid w:val="2A0C569A"/>
    <w:rsid w:val="2A5C3075"/>
    <w:rsid w:val="2AFF6410"/>
    <w:rsid w:val="2B1F5779"/>
    <w:rsid w:val="2C103347"/>
    <w:rsid w:val="2DC37189"/>
    <w:rsid w:val="2DFA2E97"/>
    <w:rsid w:val="2E483E7E"/>
    <w:rsid w:val="2FCE2953"/>
    <w:rsid w:val="2FDE37A9"/>
    <w:rsid w:val="315B7BD0"/>
    <w:rsid w:val="32027604"/>
    <w:rsid w:val="322C4796"/>
    <w:rsid w:val="327544A8"/>
    <w:rsid w:val="332F7DDD"/>
    <w:rsid w:val="336A71F5"/>
    <w:rsid w:val="33944516"/>
    <w:rsid w:val="33FE342B"/>
    <w:rsid w:val="3522787D"/>
    <w:rsid w:val="36185B49"/>
    <w:rsid w:val="379F4CA9"/>
    <w:rsid w:val="37A02AA9"/>
    <w:rsid w:val="386532D8"/>
    <w:rsid w:val="38CC7587"/>
    <w:rsid w:val="394A5F0C"/>
    <w:rsid w:val="3A8B235A"/>
    <w:rsid w:val="3AFB1D84"/>
    <w:rsid w:val="3BB84807"/>
    <w:rsid w:val="3C494A2A"/>
    <w:rsid w:val="3C9E1AD1"/>
    <w:rsid w:val="3E04329F"/>
    <w:rsid w:val="3ED454B4"/>
    <w:rsid w:val="3FB4151F"/>
    <w:rsid w:val="402112BD"/>
    <w:rsid w:val="408D1097"/>
    <w:rsid w:val="4132349F"/>
    <w:rsid w:val="413E2617"/>
    <w:rsid w:val="426D5922"/>
    <w:rsid w:val="42BE3818"/>
    <w:rsid w:val="446A2417"/>
    <w:rsid w:val="453453BA"/>
    <w:rsid w:val="472F0D16"/>
    <w:rsid w:val="480D7255"/>
    <w:rsid w:val="49DF11B1"/>
    <w:rsid w:val="4A94466D"/>
    <w:rsid w:val="4A996944"/>
    <w:rsid w:val="4B545786"/>
    <w:rsid w:val="4C3216AC"/>
    <w:rsid w:val="4C632488"/>
    <w:rsid w:val="4D600BD3"/>
    <w:rsid w:val="4DE00A9B"/>
    <w:rsid w:val="4E287E6F"/>
    <w:rsid w:val="4E4A6D47"/>
    <w:rsid w:val="4EC15329"/>
    <w:rsid w:val="4F733A2D"/>
    <w:rsid w:val="4FB67747"/>
    <w:rsid w:val="4FD56C07"/>
    <w:rsid w:val="500656EA"/>
    <w:rsid w:val="50915AB3"/>
    <w:rsid w:val="511FF2A1"/>
    <w:rsid w:val="532D0E65"/>
    <w:rsid w:val="533C4F91"/>
    <w:rsid w:val="53A92471"/>
    <w:rsid w:val="55A5494A"/>
    <w:rsid w:val="56224100"/>
    <w:rsid w:val="56803BC3"/>
    <w:rsid w:val="56FD7960"/>
    <w:rsid w:val="58DA54CB"/>
    <w:rsid w:val="59C02DAD"/>
    <w:rsid w:val="5B1433B1"/>
    <w:rsid w:val="5C0731FC"/>
    <w:rsid w:val="5E0A0A9B"/>
    <w:rsid w:val="5E4467D1"/>
    <w:rsid w:val="5F9C5101"/>
    <w:rsid w:val="5FAD3ACF"/>
    <w:rsid w:val="600C4970"/>
    <w:rsid w:val="618129F7"/>
    <w:rsid w:val="626F3307"/>
    <w:rsid w:val="62EE2619"/>
    <w:rsid w:val="653A5570"/>
    <w:rsid w:val="66F91E37"/>
    <w:rsid w:val="68291A1A"/>
    <w:rsid w:val="691B1594"/>
    <w:rsid w:val="69A50B98"/>
    <w:rsid w:val="69BD5A21"/>
    <w:rsid w:val="6ACE22AC"/>
    <w:rsid w:val="6C6366CA"/>
    <w:rsid w:val="6CBF6EF4"/>
    <w:rsid w:val="6F0D6C22"/>
    <w:rsid w:val="6FD57E76"/>
    <w:rsid w:val="6FF06988"/>
    <w:rsid w:val="71801FA8"/>
    <w:rsid w:val="72B05F6E"/>
    <w:rsid w:val="73F727AA"/>
    <w:rsid w:val="74370315"/>
    <w:rsid w:val="745F5557"/>
    <w:rsid w:val="74B60DFD"/>
    <w:rsid w:val="76C21ABB"/>
    <w:rsid w:val="76D2301A"/>
    <w:rsid w:val="774329A8"/>
    <w:rsid w:val="77861774"/>
    <w:rsid w:val="77C253BD"/>
    <w:rsid w:val="79300B45"/>
    <w:rsid w:val="79A17504"/>
    <w:rsid w:val="79FF3433"/>
    <w:rsid w:val="7A777D37"/>
    <w:rsid w:val="7AB73395"/>
    <w:rsid w:val="7B686778"/>
    <w:rsid w:val="7BCE4A5E"/>
    <w:rsid w:val="7BCF019D"/>
    <w:rsid w:val="7E617414"/>
    <w:rsid w:val="7FE5681A"/>
    <w:rsid w:val="7FFC5F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24</Pages>
  <Words>10450</Words>
  <Characters>10989</Characters>
  <Lines>71</Lines>
  <Paragraphs>20</Paragraphs>
  <TotalTime>0</TotalTime>
  <ScaleCrop>false</ScaleCrop>
  <LinksUpToDate>false</LinksUpToDate>
  <CharactersWithSpaces>10989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2025-05-20T14:34:53Z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48A9954A70FD430ABA41AE43CDE7E588</vt:lpwstr>
  </property>
  <property fmtid="{D5CDD505-2E9C-101B-9397-08002B2CF9AE}" pid="4" name="KSOTemplateDocerSaveRecord">
    <vt:lpwstr>eyJoZGlkIjoiMWRjZmY1OTU4ZWQ4NjUxZDE3ZDUyMjZmNjlmMjkzYmEiLCJ1c2VySWQiOiI0MDgzNTQxMjQifQ==</vt:lpwstr>
  </property>
</Properties>
</file>